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C03F" w14:textId="77777777" w:rsidR="00C73201" w:rsidRDefault="00C73201" w:rsidP="00C73201">
      <w:pPr>
        <w:pStyle w:val="Heading4"/>
      </w:pPr>
      <w:bookmarkStart w:id="0" w:name="_Ref528936218"/>
      <w:r w:rsidRPr="006032EF">
        <w:t>Grass cutting heights standards</w:t>
      </w:r>
      <w:r>
        <w:t>; and</w:t>
      </w:r>
      <w:bookmarkEnd w:id="0"/>
    </w:p>
    <w:tbl>
      <w:tblPr>
        <w:tblW w:w="5000" w:type="pct"/>
        <w:jc w:val="center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1915"/>
        <w:gridCol w:w="2693"/>
        <w:gridCol w:w="2551"/>
        <w:gridCol w:w="1054"/>
      </w:tblGrid>
      <w:tr w:rsidR="00C73201" w:rsidRPr="001A08AF" w14:paraId="394D9334" w14:textId="77777777" w:rsidTr="00D6739B">
        <w:trPr>
          <w:cantSplit/>
          <w:tblHeader/>
          <w:jc w:val="center"/>
        </w:trPr>
        <w:tc>
          <w:tcPr>
            <w:tcW w:w="556" w:type="pct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00FA2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center"/>
              <w:textAlignment w:val="baseline"/>
              <w:rPr>
                <w:rFonts w:eastAsia="Calibri" w:cs="Arial"/>
                <w:bCs/>
                <w:sz w:val="20"/>
                <w:szCs w:val="20"/>
              </w:rPr>
            </w:pPr>
            <w:r w:rsidRPr="001A08AF">
              <w:rPr>
                <w:rFonts w:eastAsia="Calibri" w:cs="Arial"/>
                <w:bCs/>
                <w:sz w:val="20"/>
                <w:szCs w:val="20"/>
              </w:rPr>
              <w:t>Cat</w:t>
            </w:r>
            <w:r>
              <w:rPr>
                <w:rFonts w:eastAsia="Calibri" w:cs="Arial"/>
                <w:bCs/>
                <w:sz w:val="20"/>
                <w:szCs w:val="20"/>
              </w:rPr>
              <w:t>egory</w:t>
            </w:r>
          </w:p>
        </w:tc>
        <w:tc>
          <w:tcPr>
            <w:tcW w:w="1036" w:type="pct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49AD0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rFonts w:eastAsia="Calibri" w:cs="Arial"/>
                <w:bCs/>
                <w:sz w:val="20"/>
                <w:szCs w:val="20"/>
              </w:rPr>
              <w:t>Type</w:t>
            </w:r>
          </w:p>
        </w:tc>
        <w:tc>
          <w:tcPr>
            <w:tcW w:w="1457" w:type="pct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D2AF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rFonts w:eastAsia="Calibri" w:cs="Arial"/>
                <w:bCs/>
                <w:sz w:val="20"/>
                <w:szCs w:val="20"/>
              </w:rPr>
              <w:t>M</w:t>
            </w:r>
            <w:r w:rsidRPr="001A08AF">
              <w:rPr>
                <w:rFonts w:eastAsia="Calibri" w:cs="Arial"/>
                <w:bCs/>
                <w:sz w:val="20"/>
                <w:szCs w:val="20"/>
              </w:rPr>
              <w:t xml:space="preserve">in / max height </w:t>
            </w:r>
            <w:r>
              <w:rPr>
                <w:rFonts w:eastAsia="Calibri" w:cs="Arial"/>
                <w:bCs/>
                <w:sz w:val="20"/>
                <w:szCs w:val="20"/>
              </w:rPr>
              <w:t>(</w:t>
            </w:r>
            <w:r w:rsidRPr="001A08AF">
              <w:rPr>
                <w:rFonts w:eastAsia="Calibri" w:cs="Arial"/>
                <w:bCs/>
                <w:sz w:val="20"/>
                <w:szCs w:val="20"/>
              </w:rPr>
              <w:t>mm</w:t>
            </w:r>
            <w:r>
              <w:rPr>
                <w:rFonts w:eastAsia="Calibri" w:cs="Arial"/>
                <w:bCs/>
                <w:sz w:val="20"/>
                <w:szCs w:val="20"/>
              </w:rPr>
              <w:t>)</w:t>
            </w:r>
          </w:p>
          <w:p w14:paraId="50067B75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bCs/>
                <w:sz w:val="20"/>
                <w:szCs w:val="20"/>
              </w:rPr>
            </w:pPr>
            <w:r w:rsidRPr="001A08AF">
              <w:rPr>
                <w:rFonts w:eastAsia="Calibri" w:cs="Arial"/>
                <w:bCs/>
                <w:sz w:val="20"/>
                <w:szCs w:val="20"/>
              </w:rPr>
              <w:t>Level</w:t>
            </w:r>
          </w:p>
        </w:tc>
        <w:tc>
          <w:tcPr>
            <w:tcW w:w="1380" w:type="pct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B2952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rFonts w:eastAsia="Calibri" w:cs="Arial"/>
                <w:bCs/>
                <w:sz w:val="20"/>
                <w:szCs w:val="20"/>
              </w:rPr>
              <w:t>M</w:t>
            </w:r>
            <w:r w:rsidRPr="001A08AF">
              <w:rPr>
                <w:rFonts w:eastAsia="Calibri" w:cs="Arial"/>
                <w:bCs/>
                <w:sz w:val="20"/>
                <w:szCs w:val="20"/>
              </w:rPr>
              <w:t xml:space="preserve">in / max height </w:t>
            </w:r>
            <w:r>
              <w:rPr>
                <w:rFonts w:eastAsia="Calibri" w:cs="Arial"/>
                <w:bCs/>
                <w:sz w:val="20"/>
                <w:szCs w:val="20"/>
              </w:rPr>
              <w:t>(</w:t>
            </w:r>
            <w:r w:rsidRPr="001A08AF">
              <w:rPr>
                <w:rFonts w:eastAsia="Calibri" w:cs="Arial"/>
                <w:bCs/>
                <w:sz w:val="20"/>
                <w:szCs w:val="20"/>
              </w:rPr>
              <w:t>mm</w:t>
            </w:r>
            <w:r>
              <w:rPr>
                <w:rFonts w:eastAsia="Calibri" w:cs="Arial"/>
                <w:bCs/>
                <w:sz w:val="20"/>
                <w:szCs w:val="20"/>
              </w:rPr>
              <w:t>)</w:t>
            </w:r>
          </w:p>
          <w:p w14:paraId="5E2D0541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bCs/>
                <w:sz w:val="20"/>
                <w:szCs w:val="20"/>
              </w:rPr>
            </w:pPr>
            <w:r w:rsidRPr="001A08AF">
              <w:rPr>
                <w:rFonts w:eastAsia="Calibri" w:cs="Arial"/>
                <w:bCs/>
                <w:sz w:val="20"/>
                <w:szCs w:val="20"/>
              </w:rPr>
              <w:t>Banks</w:t>
            </w:r>
          </w:p>
        </w:tc>
        <w:tc>
          <w:tcPr>
            <w:tcW w:w="570" w:type="pct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F7FFC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center"/>
              <w:textAlignment w:val="baseline"/>
              <w:rPr>
                <w:rFonts w:eastAsia="Calibri" w:cs="Arial"/>
                <w:bCs/>
                <w:sz w:val="20"/>
                <w:szCs w:val="20"/>
              </w:rPr>
            </w:pPr>
            <w:r w:rsidRPr="001A08AF">
              <w:rPr>
                <w:rFonts w:eastAsia="Calibri" w:cs="Arial"/>
                <w:bCs/>
                <w:sz w:val="20"/>
                <w:szCs w:val="20"/>
              </w:rPr>
              <w:t>Collect arisings?</w:t>
            </w:r>
          </w:p>
        </w:tc>
      </w:tr>
      <w:tr w:rsidR="00C73201" w:rsidRPr="001A08AF" w14:paraId="4BCA35EB" w14:textId="77777777" w:rsidTr="00D6739B">
        <w:trPr>
          <w:cantSplit/>
          <w:jc w:val="center"/>
        </w:trPr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5159E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B53EB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Grassed Area: General Grass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F5296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25 -100</w:t>
            </w:r>
          </w:p>
        </w:tc>
        <w:tc>
          <w:tcPr>
            <w:tcW w:w="13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013D7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50 - 200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606A8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center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no</w:t>
            </w:r>
          </w:p>
        </w:tc>
      </w:tr>
      <w:tr w:rsidR="00C73201" w:rsidRPr="001A08AF" w14:paraId="2111C65B" w14:textId="77777777" w:rsidTr="00D6739B">
        <w:trPr>
          <w:cantSplit/>
          <w:jc w:val="center"/>
        </w:trPr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35EE0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B7D6E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Grassed Area: Cut and Collect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7DECC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15 – 50</w:t>
            </w:r>
          </w:p>
        </w:tc>
        <w:tc>
          <w:tcPr>
            <w:tcW w:w="13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AF913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15 – 100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213E4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center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yes</w:t>
            </w:r>
          </w:p>
        </w:tc>
      </w:tr>
      <w:tr w:rsidR="00C73201" w:rsidRPr="001A08AF" w14:paraId="3B872F07" w14:textId="77777777" w:rsidTr="00D6739B">
        <w:trPr>
          <w:cantSplit/>
          <w:jc w:val="center"/>
        </w:trPr>
        <w:tc>
          <w:tcPr>
            <w:tcW w:w="55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35133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ED796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Sports facilities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168F6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48C8B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08EE7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center"/>
              <w:textAlignment w:val="baseline"/>
              <w:rPr>
                <w:rFonts w:eastAsia="Calibri" w:cs="Arial"/>
                <w:sz w:val="20"/>
                <w:szCs w:val="20"/>
              </w:rPr>
            </w:pPr>
          </w:p>
        </w:tc>
      </w:tr>
      <w:tr w:rsidR="00C73201" w:rsidRPr="001A08AF" w14:paraId="0B73162E" w14:textId="77777777" w:rsidTr="00D6739B">
        <w:trPr>
          <w:cantSplit/>
          <w:jc w:val="center"/>
        </w:trPr>
        <w:tc>
          <w:tcPr>
            <w:tcW w:w="55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3E3BA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43BA7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Bowls greens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12A6B" w14:textId="77777777" w:rsidR="00C73201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4.0 – 4.5 (playing season)</w:t>
            </w:r>
          </w:p>
          <w:p w14:paraId="58551FEA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6 – 10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Pr="001A08AF">
              <w:rPr>
                <w:rFonts w:eastAsia="Calibri" w:cs="Arial"/>
                <w:sz w:val="20"/>
                <w:szCs w:val="20"/>
              </w:rPr>
              <w:t>(winter)</w:t>
            </w:r>
          </w:p>
        </w:tc>
        <w:tc>
          <w:tcPr>
            <w:tcW w:w="13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63411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N/A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844C4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center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yes</w:t>
            </w:r>
          </w:p>
        </w:tc>
      </w:tr>
      <w:tr w:rsidR="00C73201" w:rsidRPr="001A08AF" w14:paraId="165EEF5A" w14:textId="77777777" w:rsidTr="00D6739B">
        <w:trPr>
          <w:cantSplit/>
          <w:jc w:val="center"/>
        </w:trPr>
        <w:tc>
          <w:tcPr>
            <w:tcW w:w="55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6A9AB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7DF7C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Putting greens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57422" w14:textId="77777777" w:rsidR="00C73201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6 – 10 (pl</w:t>
            </w:r>
            <w:r>
              <w:rPr>
                <w:rFonts w:eastAsia="Calibri" w:cs="Arial"/>
                <w:sz w:val="20"/>
                <w:szCs w:val="20"/>
              </w:rPr>
              <w:t>aying season)</w:t>
            </w:r>
          </w:p>
          <w:p w14:paraId="1C551F42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15 – 20 (winter)</w:t>
            </w:r>
          </w:p>
        </w:tc>
        <w:tc>
          <w:tcPr>
            <w:tcW w:w="13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CF7D4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N/A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C331F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center"/>
              <w:textAlignment w:val="baseline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y</w:t>
            </w:r>
            <w:r w:rsidRPr="001A08AF">
              <w:rPr>
                <w:rFonts w:eastAsia="Calibri" w:cs="Arial"/>
                <w:sz w:val="20"/>
                <w:szCs w:val="20"/>
              </w:rPr>
              <w:t>es</w:t>
            </w:r>
          </w:p>
          <w:p w14:paraId="02A1DB19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center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no</w:t>
            </w:r>
          </w:p>
        </w:tc>
      </w:tr>
      <w:tr w:rsidR="00C73201" w:rsidRPr="001A08AF" w14:paraId="5B1669A1" w14:textId="77777777" w:rsidTr="00D6739B">
        <w:trPr>
          <w:cantSplit/>
          <w:jc w:val="center"/>
        </w:trPr>
        <w:tc>
          <w:tcPr>
            <w:tcW w:w="55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11C0C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ECB9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Fairways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F526B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25 – 50 (playing season)</w:t>
            </w:r>
          </w:p>
          <w:p w14:paraId="72A9AB35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50 -100 (winter)</w:t>
            </w:r>
          </w:p>
        </w:tc>
        <w:tc>
          <w:tcPr>
            <w:tcW w:w="13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A165F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25 – 50 (playing season)</w:t>
            </w:r>
          </w:p>
          <w:p w14:paraId="6DD9401B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50 -100 (winter)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D46EA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center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no</w:t>
            </w:r>
          </w:p>
        </w:tc>
      </w:tr>
      <w:tr w:rsidR="00C73201" w:rsidRPr="001A08AF" w14:paraId="0DCCAF7C" w14:textId="77777777" w:rsidTr="00D6739B">
        <w:trPr>
          <w:cantSplit/>
          <w:jc w:val="center"/>
        </w:trPr>
        <w:tc>
          <w:tcPr>
            <w:tcW w:w="55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F318A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C2BC2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Rough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7AD42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50 – 150 (playing season)</w:t>
            </w:r>
          </w:p>
          <w:p w14:paraId="27AE9984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75 – 200 (winter)</w:t>
            </w:r>
          </w:p>
        </w:tc>
        <w:tc>
          <w:tcPr>
            <w:tcW w:w="13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41CF0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50 – 150 (playing season)</w:t>
            </w:r>
          </w:p>
          <w:p w14:paraId="0017280A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75 – 200 (winter)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7BD0F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center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no</w:t>
            </w:r>
          </w:p>
        </w:tc>
      </w:tr>
      <w:tr w:rsidR="00C73201" w:rsidRPr="001A08AF" w14:paraId="70B0D5D6" w14:textId="77777777" w:rsidTr="00D6739B">
        <w:trPr>
          <w:cantSplit/>
          <w:jc w:val="center"/>
        </w:trPr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F0AD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1C8DA" w14:textId="77777777" w:rsidR="00C73201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 xml:space="preserve">Semi-natural and landscape buffer areas </w:t>
            </w:r>
          </w:p>
          <w:p w14:paraId="73C316B9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(</w:t>
            </w:r>
            <w:proofErr w:type="gramStart"/>
            <w:r w:rsidRPr="001A08AF">
              <w:rPr>
                <w:rFonts w:eastAsia="Calibri" w:cs="Arial"/>
                <w:sz w:val="20"/>
                <w:szCs w:val="20"/>
              </w:rPr>
              <w:t>in</w:t>
            </w:r>
            <w:proofErr w:type="gramEnd"/>
            <w:r w:rsidRPr="001A08AF">
              <w:rPr>
                <w:rFonts w:eastAsia="Calibri" w:cs="Arial"/>
                <w:sz w:val="20"/>
                <w:szCs w:val="20"/>
              </w:rPr>
              <w:t xml:space="preserve"> all categories)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BADEF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C</w:t>
            </w:r>
            <w:r w:rsidRPr="001A08AF">
              <w:rPr>
                <w:rFonts w:eastAsia="Calibri" w:cs="Arial"/>
                <w:sz w:val="20"/>
                <w:szCs w:val="20"/>
              </w:rPr>
              <w:t>ut once to 75 max Sept - Dec</w:t>
            </w:r>
          </w:p>
        </w:tc>
        <w:tc>
          <w:tcPr>
            <w:tcW w:w="13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C694A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left"/>
              <w:textAlignment w:val="baseline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C</w:t>
            </w:r>
            <w:r w:rsidRPr="001A08AF">
              <w:rPr>
                <w:rFonts w:eastAsia="Calibri" w:cs="Arial"/>
                <w:sz w:val="20"/>
                <w:szCs w:val="20"/>
              </w:rPr>
              <w:t>ut once to 75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Pr="001A08AF">
              <w:rPr>
                <w:rFonts w:eastAsia="Calibri" w:cs="Arial"/>
                <w:sz w:val="20"/>
                <w:szCs w:val="20"/>
              </w:rPr>
              <w:t>max Sept - Dec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00FF3" w14:textId="77777777" w:rsidR="00C73201" w:rsidRPr="001A08AF" w:rsidRDefault="00C73201" w:rsidP="00D6739B">
            <w:pPr>
              <w:overflowPunct w:val="0"/>
              <w:autoSpaceDE w:val="0"/>
              <w:autoSpaceDN w:val="0"/>
              <w:spacing w:before="40" w:after="40"/>
              <w:jc w:val="center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08AF">
              <w:rPr>
                <w:rFonts w:eastAsia="Calibri" w:cs="Arial"/>
                <w:sz w:val="20"/>
                <w:szCs w:val="20"/>
              </w:rPr>
              <w:t>no</w:t>
            </w:r>
          </w:p>
        </w:tc>
      </w:tr>
    </w:tbl>
    <w:p w14:paraId="4B08569F" w14:textId="5B8C4C0B" w:rsidR="00C73201" w:rsidRDefault="0041696D" w:rsidP="0041696D">
      <w:pPr>
        <w:pStyle w:val="Heading4"/>
        <w:numPr>
          <w:ilvl w:val="0"/>
          <w:numId w:val="0"/>
        </w:numPr>
        <w:ind w:left="1134" w:hanging="1134"/>
      </w:pPr>
      <w:r>
        <w:t>55.1.2.3</w:t>
      </w:r>
      <w:r>
        <w:tab/>
      </w:r>
      <w:r w:rsidR="00C73201">
        <w:t xml:space="preserve">Performance Standards specified in paragraphs </w:t>
      </w:r>
      <w:r w:rsidR="00C73201">
        <w:fldChar w:fldCharType="begin"/>
      </w:r>
      <w:r w:rsidR="00C73201">
        <w:instrText xml:space="preserve"> REF _Ref518576077 \r \h </w:instrText>
      </w:r>
      <w:r w:rsidR="00C73201">
        <w:fldChar w:fldCharType="separate"/>
      </w:r>
      <w:r w:rsidR="00C73201">
        <w:t>56.1.8</w:t>
      </w:r>
      <w:r w:rsidR="00C73201">
        <w:fldChar w:fldCharType="end"/>
      </w:r>
      <w:r w:rsidR="00C73201">
        <w:t xml:space="preserve">, </w:t>
      </w:r>
      <w:r w:rsidR="00C73201">
        <w:fldChar w:fldCharType="begin"/>
      </w:r>
      <w:r w:rsidR="00C73201">
        <w:instrText xml:space="preserve"> REF _Ref518576177 \r \h </w:instrText>
      </w:r>
      <w:r w:rsidR="00C73201">
        <w:fldChar w:fldCharType="separate"/>
      </w:r>
      <w:r w:rsidR="00C73201">
        <w:t>56.1.10</w:t>
      </w:r>
      <w:r w:rsidR="00C73201">
        <w:fldChar w:fldCharType="end"/>
      </w:r>
      <w:r w:rsidR="00C73201">
        <w:t xml:space="preserve"> to </w:t>
      </w:r>
      <w:r w:rsidR="00C73201">
        <w:fldChar w:fldCharType="begin"/>
      </w:r>
      <w:r w:rsidR="00C73201">
        <w:instrText xml:space="preserve"> REF _Ref518576320 \r \h </w:instrText>
      </w:r>
      <w:r w:rsidR="00C73201">
        <w:fldChar w:fldCharType="separate"/>
      </w:r>
      <w:r w:rsidR="00C73201">
        <w:t>56.1.13</w:t>
      </w:r>
      <w:r w:rsidR="00C73201">
        <w:fldChar w:fldCharType="end"/>
      </w:r>
      <w:r w:rsidR="00C73201">
        <w:t xml:space="preserve">, </w:t>
      </w:r>
      <w:r w:rsidR="00C73201">
        <w:fldChar w:fldCharType="begin"/>
      </w:r>
      <w:r w:rsidR="00C73201">
        <w:instrText xml:space="preserve"> REF _Ref518576550 \r \h </w:instrText>
      </w:r>
      <w:r w:rsidR="00C73201">
        <w:fldChar w:fldCharType="separate"/>
      </w:r>
      <w:r w:rsidR="00C73201">
        <w:t>56.2.3</w:t>
      </w:r>
      <w:r w:rsidR="00C73201">
        <w:fldChar w:fldCharType="end"/>
      </w:r>
      <w:r w:rsidR="00C73201">
        <w:t xml:space="preserve"> to </w:t>
      </w:r>
      <w:r w:rsidR="00C73201">
        <w:fldChar w:fldCharType="begin"/>
      </w:r>
      <w:r w:rsidR="00C73201">
        <w:instrText xml:space="preserve"> REF _Ref518576579 \r \h </w:instrText>
      </w:r>
      <w:r w:rsidR="00C73201">
        <w:fldChar w:fldCharType="separate"/>
      </w:r>
      <w:r w:rsidR="00C73201">
        <w:t>56.2.5</w:t>
      </w:r>
      <w:r w:rsidR="00C73201">
        <w:fldChar w:fldCharType="end"/>
      </w:r>
      <w:r w:rsidR="00C73201">
        <w:t xml:space="preserve">, </w:t>
      </w:r>
      <w:r w:rsidR="00C73201">
        <w:fldChar w:fldCharType="begin"/>
      </w:r>
      <w:r w:rsidR="00C73201">
        <w:instrText xml:space="preserve"> REF _Ref518576623 \r \h </w:instrText>
      </w:r>
      <w:r w:rsidR="00C73201">
        <w:fldChar w:fldCharType="separate"/>
      </w:r>
      <w:r w:rsidR="00C73201">
        <w:t>56.3.5</w:t>
      </w:r>
      <w:r w:rsidR="00C73201">
        <w:fldChar w:fldCharType="end"/>
      </w:r>
      <w:r w:rsidR="00C73201">
        <w:t xml:space="preserve">, </w:t>
      </w:r>
      <w:r w:rsidR="00C73201">
        <w:fldChar w:fldCharType="begin"/>
      </w:r>
      <w:r w:rsidR="00C73201">
        <w:instrText xml:space="preserve"> REF _Ref518576683 \r \h </w:instrText>
      </w:r>
      <w:r w:rsidR="00C73201">
        <w:fldChar w:fldCharType="separate"/>
      </w:r>
      <w:r w:rsidR="00C73201">
        <w:t>56.4.3</w:t>
      </w:r>
      <w:r w:rsidR="00C73201">
        <w:fldChar w:fldCharType="end"/>
      </w:r>
      <w:r w:rsidR="00C73201">
        <w:t xml:space="preserve"> to </w:t>
      </w:r>
      <w:r w:rsidR="00C73201">
        <w:fldChar w:fldCharType="begin"/>
      </w:r>
      <w:r w:rsidR="00C73201">
        <w:instrText xml:space="preserve"> REF _Ref518576704 \r \h </w:instrText>
      </w:r>
      <w:r w:rsidR="00C73201">
        <w:fldChar w:fldCharType="separate"/>
      </w:r>
      <w:r w:rsidR="00C73201">
        <w:t>56.4.4</w:t>
      </w:r>
      <w:r w:rsidR="00C73201">
        <w:fldChar w:fldCharType="end"/>
      </w:r>
      <w:r w:rsidR="00C73201">
        <w:t xml:space="preserve"> and </w:t>
      </w:r>
      <w:r w:rsidR="00C73201">
        <w:fldChar w:fldCharType="begin"/>
      </w:r>
      <w:r w:rsidR="00C73201">
        <w:instrText xml:space="preserve"> REF _Ref518576783 \r \h </w:instrText>
      </w:r>
      <w:r w:rsidR="00C73201">
        <w:fldChar w:fldCharType="separate"/>
      </w:r>
      <w:r w:rsidR="00C73201">
        <w:t>56.6.4</w:t>
      </w:r>
      <w:r w:rsidR="00C73201">
        <w:fldChar w:fldCharType="end"/>
      </w:r>
      <w:r w:rsidR="00C73201">
        <w:t xml:space="preserve"> to </w:t>
      </w:r>
      <w:r w:rsidR="00C73201">
        <w:fldChar w:fldCharType="begin"/>
      </w:r>
      <w:r w:rsidR="00C73201">
        <w:instrText xml:space="preserve"> REF _Ref518576797 \r \h </w:instrText>
      </w:r>
      <w:r w:rsidR="00C73201">
        <w:fldChar w:fldCharType="separate"/>
      </w:r>
      <w:r w:rsidR="00C73201">
        <w:t>56.6.5</w:t>
      </w:r>
      <w:r w:rsidR="00C73201">
        <w:fldChar w:fldCharType="end"/>
      </w:r>
      <w:r w:rsidR="00C73201">
        <w:t>.</w:t>
      </w:r>
    </w:p>
    <w:p w14:paraId="19EFF08C" w14:textId="0F2B1F35" w:rsidR="00C73201" w:rsidRPr="00826CCC" w:rsidRDefault="0041696D" w:rsidP="0041696D">
      <w:pPr>
        <w:pStyle w:val="Heading3"/>
        <w:numPr>
          <w:ilvl w:val="0"/>
          <w:numId w:val="0"/>
        </w:numPr>
        <w:ind w:left="1134" w:hanging="1134"/>
      </w:pPr>
      <w:r>
        <w:t>55.1.3</w:t>
      </w:r>
      <w:r>
        <w:tab/>
      </w:r>
      <w:r w:rsidR="00C73201">
        <w:t>Minimum and m</w:t>
      </w:r>
      <w:r w:rsidR="00C73201" w:rsidRPr="00826CCC">
        <w:t xml:space="preserve">aximum cutting heights </w:t>
      </w:r>
      <w:r w:rsidR="00C73201">
        <w:t>are specified in</w:t>
      </w:r>
      <w:r w:rsidR="00C73201" w:rsidRPr="00826CCC">
        <w:t xml:space="preserve"> the </w:t>
      </w:r>
      <w:r w:rsidR="00C73201">
        <w:t xml:space="preserve">Grounds Maintenance </w:t>
      </w:r>
      <w:r w:rsidR="00C73201" w:rsidRPr="00826CCC">
        <w:t>Performance Standards. The minimum cutting height may be increased according to the weather co</w:t>
      </w:r>
      <w:r w:rsidR="00C73201">
        <w:t>nditions and time of the year. The Contractor shall agree t</w:t>
      </w:r>
      <w:r w:rsidR="00C73201" w:rsidRPr="00826CCC">
        <w:t>he cutting heights</w:t>
      </w:r>
      <w:r w:rsidR="00C73201">
        <w:t xml:space="preserve"> </w:t>
      </w:r>
      <w:r w:rsidR="00C73201" w:rsidRPr="00826CCC">
        <w:t xml:space="preserve">with the </w:t>
      </w:r>
      <w:r w:rsidR="00C73201">
        <w:t>relevant Authorised</w:t>
      </w:r>
      <w:r w:rsidR="00C73201" w:rsidRPr="00826CCC">
        <w:t xml:space="preserve"> Officer in advance of the cut.</w:t>
      </w:r>
    </w:p>
    <w:p w14:paraId="24EBFC15" w14:textId="39EA9BDB" w:rsidR="00C73201" w:rsidRDefault="00C73201" w:rsidP="0041696D">
      <w:pPr>
        <w:pStyle w:val="Heading1"/>
        <w:numPr>
          <w:ilvl w:val="0"/>
          <w:numId w:val="3"/>
        </w:numPr>
      </w:pPr>
      <w:bookmarkStart w:id="1" w:name="_Toc536613720"/>
      <w:r>
        <w:t>OPERATIONAL REQUIREMENTS</w:t>
      </w:r>
      <w:bookmarkEnd w:id="1"/>
    </w:p>
    <w:p w14:paraId="0C328793" w14:textId="77777777" w:rsidR="00C73201" w:rsidRPr="00826CCC" w:rsidRDefault="00C73201" w:rsidP="00C73201">
      <w:pPr>
        <w:pStyle w:val="Heading2"/>
      </w:pPr>
      <w:bookmarkStart w:id="2" w:name="_Ref518576276"/>
      <w:bookmarkStart w:id="3" w:name="_Toc536613721"/>
      <w:r w:rsidRPr="00826CCC">
        <w:t xml:space="preserve">Grassed </w:t>
      </w:r>
      <w:r>
        <w:t>A</w:t>
      </w:r>
      <w:r w:rsidRPr="00826CCC">
        <w:t>reas</w:t>
      </w:r>
      <w:bookmarkEnd w:id="2"/>
      <w:bookmarkEnd w:id="3"/>
      <w:r w:rsidRPr="00826CCC">
        <w:t xml:space="preserve"> </w:t>
      </w:r>
    </w:p>
    <w:p w14:paraId="0987D2FF" w14:textId="77777777" w:rsidR="00C73201" w:rsidRPr="00826CCC" w:rsidRDefault="00C73201" w:rsidP="00C73201">
      <w:pPr>
        <w:pStyle w:val="Heading3"/>
      </w:pPr>
      <w:r>
        <w:t>The Contractor shall achieve and maintain the Grounds Maintenance Performance Standards applicable for the type of Grassed Areas (</w:t>
      </w:r>
      <w:proofErr w:type="gramStart"/>
      <w:r>
        <w:t>i.e.</w:t>
      </w:r>
      <w:proofErr w:type="gramEnd"/>
      <w:r>
        <w:t xml:space="preserve"> </w:t>
      </w:r>
      <w:r w:rsidRPr="00D40F89">
        <w:rPr>
          <w:i/>
        </w:rPr>
        <w:t>General Grass</w:t>
      </w:r>
      <w:r>
        <w:rPr>
          <w:i/>
        </w:rPr>
        <w:t xml:space="preserve">, </w:t>
      </w:r>
      <w:r w:rsidRPr="00D40F89">
        <w:rPr>
          <w:i/>
        </w:rPr>
        <w:t>Cut and Collect</w:t>
      </w:r>
      <w:r>
        <w:t xml:space="preserve"> and </w:t>
      </w:r>
      <w:r w:rsidRPr="00C33778">
        <w:rPr>
          <w:i/>
        </w:rPr>
        <w:t>Wildlife/Wildflower Grass</w:t>
      </w:r>
      <w:r>
        <w:t xml:space="preserve"> as identified in Appendix 11). </w:t>
      </w:r>
    </w:p>
    <w:p w14:paraId="3AB623C7" w14:textId="77777777" w:rsidR="00C73201" w:rsidRPr="00826CCC" w:rsidRDefault="00C73201" w:rsidP="00C73201">
      <w:pPr>
        <w:pStyle w:val="Heading3"/>
      </w:pPr>
      <w:r w:rsidRPr="00826CCC">
        <w:t xml:space="preserve">Where bulbs are planted within </w:t>
      </w:r>
      <w:r>
        <w:t>G</w:t>
      </w:r>
      <w:r w:rsidRPr="00826CCC">
        <w:t>rass</w:t>
      </w:r>
      <w:r>
        <w:t>ed</w:t>
      </w:r>
      <w:r w:rsidRPr="00826CCC">
        <w:t xml:space="preserve"> </w:t>
      </w:r>
      <w:r>
        <w:t>A</w:t>
      </w:r>
      <w:r w:rsidRPr="00826CCC">
        <w:t xml:space="preserve">reas, cutting of the specific bulbed area shall not commence until the </w:t>
      </w:r>
      <w:r>
        <w:t>p</w:t>
      </w:r>
      <w:r w:rsidRPr="00826CCC">
        <w:t xml:space="preserve">lants have flowered and they have died down naturally. Arisings on the bulb area shall be raked up and removed. The area shall subsequently be maintained to the specified </w:t>
      </w:r>
      <w:r>
        <w:t xml:space="preserve">Grounds Maintenance </w:t>
      </w:r>
      <w:r w:rsidRPr="00826CCC">
        <w:t>Performance Standard of the surrounding grass area.</w:t>
      </w:r>
    </w:p>
    <w:p w14:paraId="78876A66" w14:textId="77777777" w:rsidR="00C73201" w:rsidRPr="00826CCC" w:rsidRDefault="00C73201" w:rsidP="00C73201">
      <w:pPr>
        <w:pStyle w:val="Heading3"/>
      </w:pPr>
      <w:r w:rsidRPr="00826CCC">
        <w:t>The Contractor shall</w:t>
      </w:r>
      <w:r>
        <w:t xml:space="preserve"> cut and edge</w:t>
      </w:r>
      <w:r w:rsidRPr="00826CCC">
        <w:t xml:space="preserve"> grass and weeds around all obstructions, obstacles and along fence and wall lines within or forming a boundary to the grass area to the same standard as the adjoining grass area. </w:t>
      </w:r>
    </w:p>
    <w:p w14:paraId="7E09B47A" w14:textId="77777777" w:rsidR="00C73201" w:rsidRPr="00826CCC" w:rsidRDefault="00C73201" w:rsidP="00C73201">
      <w:pPr>
        <w:pStyle w:val="Heading3"/>
      </w:pPr>
      <w:r w:rsidRPr="00826CCC">
        <w:lastRenderedPageBreak/>
        <w:t xml:space="preserve">The Contractor </w:t>
      </w:r>
      <w:r>
        <w:t>shall neatly cut</w:t>
      </w:r>
      <w:r w:rsidRPr="00826CCC">
        <w:t xml:space="preserve"> back to the edges of the adjacent hard surface</w:t>
      </w:r>
      <w:r>
        <w:t xml:space="preserve">, beds, </w:t>
      </w:r>
      <w:proofErr w:type="gramStart"/>
      <w:r>
        <w:t>borders</w:t>
      </w:r>
      <w:proofErr w:type="gramEnd"/>
      <w:r>
        <w:t xml:space="preserve"> and channels</w:t>
      </w:r>
      <w:r w:rsidRPr="00826CCC">
        <w:t xml:space="preserve"> to a standard appropriate to the category of grass.</w:t>
      </w:r>
    </w:p>
    <w:p w14:paraId="555D9C0A" w14:textId="77777777" w:rsidR="00C73201" w:rsidRPr="00826CCC" w:rsidRDefault="00C73201" w:rsidP="00C73201">
      <w:pPr>
        <w:pStyle w:val="Heading3"/>
      </w:pPr>
      <w:proofErr w:type="gramStart"/>
      <w:r w:rsidRPr="00826CCC">
        <w:t>Particular care</w:t>
      </w:r>
      <w:proofErr w:type="gramEnd"/>
      <w:r w:rsidRPr="00826CCC">
        <w:t xml:space="preserve"> </w:t>
      </w:r>
      <w:r>
        <w:t>shall be</w:t>
      </w:r>
      <w:r w:rsidRPr="00826CCC">
        <w:t xml:space="preserve"> taken when cutting around isolated trees in grass areas to avoid damaging tree bases. The Contractor </w:t>
      </w:r>
      <w:r>
        <w:t>may</w:t>
      </w:r>
      <w:r w:rsidRPr="00826CCC">
        <w:t xml:space="preserve"> maintain a grass free area </w:t>
      </w:r>
      <w:r>
        <w:t xml:space="preserve">of </w:t>
      </w:r>
      <w:r w:rsidRPr="00826CCC">
        <w:t>up to 250mm width around the bases to aid mowing.</w:t>
      </w:r>
    </w:p>
    <w:p w14:paraId="0337FEE2" w14:textId="77777777" w:rsidR="00C73201" w:rsidRPr="00826CCC" w:rsidRDefault="00C73201" w:rsidP="00C73201">
      <w:pPr>
        <w:pStyle w:val="Heading3"/>
      </w:pPr>
      <w:r w:rsidRPr="00826CCC">
        <w:t xml:space="preserve">The </w:t>
      </w:r>
      <w:r>
        <w:t>C</w:t>
      </w:r>
      <w:r w:rsidRPr="00826CCC">
        <w:t xml:space="preserve">ontractor shall </w:t>
      </w:r>
      <w:r>
        <w:t>cut</w:t>
      </w:r>
      <w:r w:rsidRPr="00826CCC">
        <w:t xml:space="preserve"> grass banks within </w:t>
      </w:r>
      <w:r>
        <w:t>the General</w:t>
      </w:r>
      <w:r w:rsidRPr="00826CCC">
        <w:t xml:space="preserve"> </w:t>
      </w:r>
      <w:r>
        <w:t>G</w:t>
      </w:r>
      <w:r w:rsidRPr="00826CCC">
        <w:t>rass areas</w:t>
      </w:r>
      <w:r>
        <w:t>. It should be noted that</w:t>
      </w:r>
      <w:r w:rsidRPr="00826CCC">
        <w:t xml:space="preserve"> some banks are steeply sloped</w:t>
      </w:r>
      <w:r>
        <w:t xml:space="preserve"> and t</w:t>
      </w:r>
      <w:r w:rsidRPr="00826CCC">
        <w:t>he Contractor</w:t>
      </w:r>
      <w:r>
        <w:t xml:space="preserve">’s proposals for maintaining such areas in a safe and legally compliant way </w:t>
      </w:r>
      <w:r w:rsidRPr="00BD72D7">
        <w:t xml:space="preserve">shall be described in </w:t>
      </w:r>
      <w:r>
        <w:t xml:space="preserve">his </w:t>
      </w:r>
      <w:r w:rsidRPr="002F0E4C">
        <w:t>Grounds Maintenance Services Plan</w:t>
      </w:r>
      <w:r>
        <w:t xml:space="preserve"> (</w:t>
      </w:r>
      <w:r w:rsidRPr="002F0E4C">
        <w:t>Method Statement 13</w:t>
      </w:r>
      <w:r>
        <w:t>)</w:t>
      </w:r>
      <w:r w:rsidRPr="002F0E4C">
        <w:t>.</w:t>
      </w:r>
      <w:r w:rsidRPr="00826CCC">
        <w:t xml:space="preserve"> </w:t>
      </w:r>
    </w:p>
    <w:p w14:paraId="1639D003" w14:textId="77777777" w:rsidR="00C73201" w:rsidRPr="00826CCC" w:rsidRDefault="00C73201" w:rsidP="00C73201">
      <w:pPr>
        <w:pStyle w:val="Heading3"/>
      </w:pPr>
      <w:r w:rsidRPr="00826CCC">
        <w:t xml:space="preserve">The Contractor shall ensure that there are no large accumulations of fallen leaves on </w:t>
      </w:r>
      <w:r>
        <w:t xml:space="preserve">Cut and Collect Grassed Areas, </w:t>
      </w:r>
      <w:r w:rsidRPr="00826CCC">
        <w:t>associated beds, borders or paved areas.</w:t>
      </w:r>
    </w:p>
    <w:p w14:paraId="42EDC780" w14:textId="77777777" w:rsidR="00C73201" w:rsidRPr="00826CCC" w:rsidRDefault="00C73201" w:rsidP="00C73201">
      <w:pPr>
        <w:pStyle w:val="Heading3"/>
      </w:pPr>
      <w:bookmarkStart w:id="4" w:name="_Ref518576077"/>
      <w:r w:rsidRPr="00826CCC">
        <w:t xml:space="preserve">Following </w:t>
      </w:r>
      <w:r>
        <w:t xml:space="preserve">maintenance visits to Grassed Areas, </w:t>
      </w:r>
      <w:r w:rsidRPr="00826CCC">
        <w:t>the Contractor shall:</w:t>
      </w:r>
      <w:bookmarkEnd w:id="4"/>
    </w:p>
    <w:p w14:paraId="370B6420" w14:textId="77777777" w:rsidR="00C73201" w:rsidRPr="00826CCC" w:rsidRDefault="00C73201" w:rsidP="00C73201">
      <w:pPr>
        <w:pStyle w:val="Heading4"/>
      </w:pPr>
      <w:r w:rsidRPr="00826CCC">
        <w:t>blow, sweep and/or remove any arisings that have been deposited on a hard surface;</w:t>
      </w:r>
      <w:r>
        <w:t xml:space="preserve"> and</w:t>
      </w:r>
    </w:p>
    <w:p w14:paraId="4B0CE54F" w14:textId="77777777" w:rsidR="00C73201" w:rsidRDefault="00C73201" w:rsidP="00C73201">
      <w:pPr>
        <w:pStyle w:val="Heading4"/>
      </w:pPr>
      <w:r w:rsidRPr="00826CCC">
        <w:t>not leave the grass in piles after any cut</w:t>
      </w:r>
      <w:r>
        <w:t>.</w:t>
      </w:r>
    </w:p>
    <w:p w14:paraId="48C5DEB1" w14:textId="77777777" w:rsidR="00C73201" w:rsidRDefault="00C73201" w:rsidP="00C73201">
      <w:pPr>
        <w:pStyle w:val="Heading3"/>
      </w:pPr>
      <w:r>
        <w:t>It shall be noted</w:t>
      </w:r>
      <w:r w:rsidRPr="00826CCC">
        <w:t xml:space="preserve"> that, on occasions, </w:t>
      </w:r>
      <w:r>
        <w:t>G</w:t>
      </w:r>
      <w:r w:rsidRPr="00826CCC">
        <w:t xml:space="preserve">rassed </w:t>
      </w:r>
      <w:r>
        <w:t>A</w:t>
      </w:r>
      <w:r w:rsidRPr="00826CCC">
        <w:t>reas</w:t>
      </w:r>
      <w:r>
        <w:t xml:space="preserve"> may be reclassified</w:t>
      </w:r>
      <w:r w:rsidRPr="00826CCC">
        <w:t xml:space="preserve">. Should this </w:t>
      </w:r>
      <w:proofErr w:type="gramStart"/>
      <w:r w:rsidRPr="00826CCC">
        <w:t>occur</w:t>
      </w:r>
      <w:proofErr w:type="gramEnd"/>
      <w:r w:rsidRPr="00826CCC">
        <w:t xml:space="preserve"> the </w:t>
      </w:r>
      <w:r>
        <w:t>relevant Authorised</w:t>
      </w:r>
      <w:r w:rsidRPr="00826CCC">
        <w:t xml:space="preserve"> Officer shall notify the Contractor</w:t>
      </w:r>
      <w:r>
        <w:t xml:space="preserve"> and issue a Contract variation.</w:t>
      </w:r>
    </w:p>
    <w:p w14:paraId="69FD01B8" w14:textId="77777777" w:rsidR="00C73201" w:rsidRPr="00826CCC" w:rsidRDefault="00C73201" w:rsidP="00C73201">
      <w:pPr>
        <w:pStyle w:val="Heading3"/>
      </w:pPr>
      <w:bookmarkStart w:id="5" w:name="_Ref518576177"/>
      <w:r>
        <w:t xml:space="preserve">Areas of wildlife grass shall be managed in accordance with the agreed management plans presented in </w:t>
      </w:r>
      <w:r w:rsidRPr="000027B2">
        <w:t>Appendix 12. W</w:t>
      </w:r>
      <w:r>
        <w:t xml:space="preserve">ildlife grass which is not subject to management plans shall be left uncut until the end of the growing season when a single cut shall be </w:t>
      </w:r>
      <w:proofErr w:type="gramStart"/>
      <w:r>
        <w:t>undertaken</w:t>
      </w:r>
      <w:proofErr w:type="gramEnd"/>
      <w:r>
        <w:t xml:space="preserve"> and all arisings left on the ground until one week after cutting when they shall be cleared by hand.</w:t>
      </w:r>
      <w:bookmarkEnd w:id="5"/>
      <w:r w:rsidRPr="00826CCC">
        <w:t xml:space="preserve"> </w:t>
      </w:r>
    </w:p>
    <w:p w14:paraId="2A37CC62" w14:textId="77777777" w:rsidR="00C73201" w:rsidRDefault="00C73201" w:rsidP="00C73201">
      <w:pPr>
        <w:pStyle w:val="Heading3"/>
      </w:pPr>
      <w:r w:rsidRPr="00826CCC">
        <w:t xml:space="preserve">Areas of wildflower meadow shall be left uncut </w:t>
      </w:r>
      <w:r>
        <w:t>except for</w:t>
      </w:r>
      <w:r w:rsidRPr="00826CCC">
        <w:t xml:space="preserve"> </w:t>
      </w:r>
      <w:r>
        <w:t xml:space="preserve">a </w:t>
      </w:r>
      <w:r w:rsidRPr="00826CCC">
        <w:t xml:space="preserve">single cut at the end of each flowering season. The arisings from such a cut shall remain in situ for a period of 1 week after which they </w:t>
      </w:r>
      <w:r>
        <w:t>shall</w:t>
      </w:r>
      <w:r w:rsidRPr="00826CCC">
        <w:t xml:space="preserve"> be hand raked and removed from </w:t>
      </w:r>
      <w:r>
        <w:t>the Grounds Maintenance Sites.</w:t>
      </w:r>
    </w:p>
    <w:p w14:paraId="39A88B97" w14:textId="77777777" w:rsidR="00C73201" w:rsidRDefault="00C73201" w:rsidP="00C73201">
      <w:pPr>
        <w:pStyle w:val="Heading3"/>
      </w:pPr>
      <w:r>
        <w:t xml:space="preserve">Footpaths in areas of wildflower meadow and wildlife grass shall be cut regularly to a width of 1.5m and maintained throughout the year. </w:t>
      </w:r>
    </w:p>
    <w:sectPr w:rsidR="00C73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5A3"/>
    <w:multiLevelType w:val="multilevel"/>
    <w:tmpl w:val="980A5E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55"/>
    </w:lvlOverride>
    <w:lvlOverride w:ilvl="1">
      <w:startOverride w:val="1"/>
    </w:lvlOverride>
    <w:lvlOverride w:ilvl="2">
      <w:startOverride w:val="3"/>
    </w:lvlOverride>
  </w:num>
  <w:num w:numId="3">
    <w:abstractNumId w:val="0"/>
    <w:lvlOverride w:ilvl="0">
      <w:startOverride w:val="5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3201"/>
    <w:rsid w:val="00266C67"/>
    <w:rsid w:val="0041696D"/>
    <w:rsid w:val="00C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0BAF"/>
  <w15:chartTrackingRefBased/>
  <w15:docId w15:val="{2A46A742-1A8C-464B-8514-4F7A4D0D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201"/>
    <w:pPr>
      <w:spacing w:before="240" w:after="0" w:line="24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C73201"/>
    <w:pPr>
      <w:keepNext/>
      <w:numPr>
        <w:numId w:val="1"/>
      </w:numPr>
      <w:ind w:left="1134" w:hanging="1134"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73201"/>
    <w:pPr>
      <w:keepNext/>
      <w:numPr>
        <w:ilvl w:val="1"/>
        <w:numId w:val="1"/>
      </w:numPr>
      <w:ind w:left="1134" w:hanging="1134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73201"/>
    <w:pPr>
      <w:numPr>
        <w:ilvl w:val="2"/>
        <w:numId w:val="1"/>
      </w:numPr>
      <w:ind w:left="1134" w:hanging="1134"/>
      <w:outlineLvl w:val="2"/>
    </w:pPr>
    <w:rPr>
      <w:rFonts w:cs="Arial"/>
      <w:bCs/>
    </w:rPr>
  </w:style>
  <w:style w:type="paragraph" w:styleId="Heading4">
    <w:name w:val="heading 4"/>
    <w:basedOn w:val="Heading3"/>
    <w:next w:val="Normal"/>
    <w:link w:val="Heading4Char"/>
    <w:autoRedefine/>
    <w:qFormat/>
    <w:rsid w:val="00C73201"/>
    <w:pPr>
      <w:numPr>
        <w:ilvl w:val="3"/>
      </w:numPr>
      <w:spacing w:after="240"/>
      <w:ind w:left="1134" w:hanging="1134"/>
      <w:outlineLvl w:val="3"/>
    </w:pPr>
    <w:rPr>
      <w:bCs w:val="0"/>
    </w:rPr>
  </w:style>
  <w:style w:type="paragraph" w:styleId="Heading5">
    <w:name w:val="heading 5"/>
    <w:basedOn w:val="Normal"/>
    <w:next w:val="Normal"/>
    <w:link w:val="Heading5Char"/>
    <w:qFormat/>
    <w:rsid w:val="00C73201"/>
    <w:pPr>
      <w:keepNext/>
      <w:numPr>
        <w:ilvl w:val="4"/>
        <w:numId w:val="1"/>
      </w:numPr>
      <w:spacing w:before="120"/>
      <w:ind w:left="2268" w:hanging="1134"/>
      <w:contextualSpacing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C73201"/>
    <w:pPr>
      <w:numPr>
        <w:ilvl w:val="5"/>
        <w:numId w:val="1"/>
      </w:numPr>
      <w:spacing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C73201"/>
    <w:pPr>
      <w:numPr>
        <w:ilvl w:val="6"/>
        <w:numId w:val="1"/>
      </w:numPr>
      <w:spacing w:after="60"/>
      <w:jc w:val="left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73201"/>
    <w:pPr>
      <w:numPr>
        <w:ilvl w:val="7"/>
        <w:numId w:val="1"/>
      </w:numPr>
      <w:spacing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73201"/>
    <w:pPr>
      <w:numPr>
        <w:ilvl w:val="8"/>
        <w:numId w:val="1"/>
      </w:numPr>
      <w:spacing w:after="60"/>
      <w:jc w:val="left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3201"/>
    <w:rPr>
      <w:rFonts w:ascii="Arial" w:eastAsia="Times New Roman" w:hAnsi="Arial" w:cs="Arial"/>
      <w:b/>
      <w:caps/>
    </w:rPr>
  </w:style>
  <w:style w:type="character" w:customStyle="1" w:styleId="Heading2Char">
    <w:name w:val="Heading 2 Char"/>
    <w:basedOn w:val="DefaultParagraphFont"/>
    <w:link w:val="Heading2"/>
    <w:rsid w:val="00C73201"/>
    <w:rPr>
      <w:rFonts w:ascii="Arial" w:eastAsia="Times New Roman" w:hAnsi="Arial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C73201"/>
    <w:rPr>
      <w:rFonts w:ascii="Arial" w:eastAsia="Times New Roman" w:hAnsi="Arial" w:cs="Arial"/>
      <w:bCs/>
    </w:rPr>
  </w:style>
  <w:style w:type="character" w:customStyle="1" w:styleId="Heading4Char">
    <w:name w:val="Heading 4 Char"/>
    <w:basedOn w:val="DefaultParagraphFont"/>
    <w:link w:val="Heading4"/>
    <w:rsid w:val="00C73201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rsid w:val="00C73201"/>
    <w:rPr>
      <w:rFonts w:ascii="Arial" w:eastAsia="Times New Roman" w:hAnsi="Arial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C7320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7320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7320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7320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Tufts, Teresa</dc:creator>
  <cp:keywords/>
  <dc:description/>
  <cp:lastModifiedBy>Tufts, Teresa</cp:lastModifiedBy>
  <cp:revision>2</cp:revision>
  <dcterms:created xsi:type="dcterms:W3CDTF">2021-06-30T15:34:00Z</dcterms:created>
  <dcterms:modified xsi:type="dcterms:W3CDTF">2021-06-30T15:37:00Z</dcterms:modified>
</cp:coreProperties>
</file>