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D0" w:rsidRDefault="00F32805" w:rsidP="000F40D0">
      <w:pPr>
        <w:jc w:val="right"/>
      </w:pPr>
      <w:bookmarkStart w:id="0" w:name="_GoBack"/>
      <w:bookmarkEnd w:id="0"/>
      <w:r>
        <w:rPr>
          <w:noProof/>
          <w:lang w:eastAsia="en-GB"/>
        </w:rPr>
        <w:drawing>
          <wp:inline distT="0" distB="0" distL="0" distR="0" wp14:anchorId="2CFAF264" wp14:editId="3231C1E4">
            <wp:extent cx="2425700" cy="582930"/>
            <wp:effectExtent l="0" t="0" r="0" b="7620"/>
            <wp:docPr id="2" name="Picture 2" descr="Sandwell and West Birmingham col"/>
            <wp:cNvGraphicFramePr/>
            <a:graphic xmlns:a="http://schemas.openxmlformats.org/drawingml/2006/main">
              <a:graphicData uri="http://schemas.openxmlformats.org/drawingml/2006/picture">
                <pic:pic xmlns:pic="http://schemas.openxmlformats.org/drawingml/2006/picture">
                  <pic:nvPicPr>
                    <pic:cNvPr id="2" name="Picture 2" descr="Sandwell and West Birmingham c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582930"/>
                    </a:xfrm>
                    <a:prstGeom prst="rect">
                      <a:avLst/>
                    </a:prstGeom>
                    <a:noFill/>
                  </pic:spPr>
                </pic:pic>
              </a:graphicData>
            </a:graphic>
          </wp:inline>
        </w:drawing>
      </w:r>
    </w:p>
    <w:p w:rsidR="000F40D0" w:rsidRDefault="000F40D0" w:rsidP="000F40D0">
      <w:pPr>
        <w:jc w:val="right"/>
        <w:rPr>
          <w:rFonts w:ascii="Arial" w:hAnsi="Arial" w:cs="Arial"/>
          <w:szCs w:val="22"/>
        </w:rPr>
      </w:pPr>
    </w:p>
    <w:p w:rsidR="000F40D0" w:rsidRDefault="000F40D0" w:rsidP="000F40D0">
      <w:pPr>
        <w:jc w:val="right"/>
        <w:rPr>
          <w:rFonts w:ascii="Arial" w:hAnsi="Arial" w:cs="Arial"/>
          <w:szCs w:val="22"/>
        </w:rPr>
      </w:pPr>
      <w:r>
        <w:rPr>
          <w:rFonts w:ascii="Arial" w:hAnsi="Arial" w:cs="Arial"/>
          <w:szCs w:val="22"/>
        </w:rPr>
        <w:t>Scarsdale</w:t>
      </w:r>
    </w:p>
    <w:p w:rsidR="000F40D0" w:rsidRDefault="000F40D0" w:rsidP="000F40D0">
      <w:pPr>
        <w:jc w:val="right"/>
        <w:rPr>
          <w:rFonts w:ascii="Arial" w:hAnsi="Arial" w:cs="Arial"/>
          <w:szCs w:val="22"/>
        </w:rPr>
      </w:pPr>
      <w:r>
        <w:rPr>
          <w:rFonts w:ascii="Arial" w:hAnsi="Arial" w:cs="Arial"/>
          <w:szCs w:val="22"/>
        </w:rPr>
        <w:t>Nightingale Close</w:t>
      </w:r>
    </w:p>
    <w:p w:rsidR="000F40D0" w:rsidRDefault="000F40D0" w:rsidP="000F40D0">
      <w:pPr>
        <w:jc w:val="right"/>
        <w:rPr>
          <w:rFonts w:ascii="Arial" w:hAnsi="Arial" w:cs="Arial"/>
          <w:szCs w:val="22"/>
        </w:rPr>
      </w:pPr>
      <w:r>
        <w:rPr>
          <w:rFonts w:ascii="Arial" w:hAnsi="Arial" w:cs="Arial"/>
          <w:szCs w:val="22"/>
        </w:rPr>
        <w:t>Newbold Road</w:t>
      </w:r>
    </w:p>
    <w:p w:rsidR="000F40D0" w:rsidRDefault="000F40D0" w:rsidP="000F40D0">
      <w:pPr>
        <w:jc w:val="right"/>
        <w:rPr>
          <w:rFonts w:ascii="Arial" w:hAnsi="Arial" w:cs="Arial"/>
          <w:szCs w:val="22"/>
        </w:rPr>
      </w:pPr>
      <w:r>
        <w:rPr>
          <w:rFonts w:ascii="Arial" w:hAnsi="Arial" w:cs="Arial"/>
          <w:szCs w:val="22"/>
        </w:rPr>
        <w:t>Chesterfield</w:t>
      </w:r>
    </w:p>
    <w:p w:rsidR="000F40D0" w:rsidRDefault="000F40D0" w:rsidP="000F40D0">
      <w:pPr>
        <w:jc w:val="right"/>
        <w:rPr>
          <w:rFonts w:ascii="Arial" w:hAnsi="Arial" w:cs="Arial"/>
          <w:szCs w:val="22"/>
        </w:rPr>
      </w:pPr>
      <w:r>
        <w:rPr>
          <w:rFonts w:ascii="Arial" w:hAnsi="Arial" w:cs="Arial"/>
          <w:szCs w:val="22"/>
        </w:rPr>
        <w:t>Derbyshire</w:t>
      </w:r>
    </w:p>
    <w:p w:rsidR="000F40D0" w:rsidRPr="00875E9D" w:rsidRDefault="000F40D0" w:rsidP="000F40D0">
      <w:pPr>
        <w:jc w:val="right"/>
        <w:rPr>
          <w:rFonts w:ascii="Arial" w:hAnsi="Arial" w:cs="Arial"/>
          <w:szCs w:val="22"/>
        </w:rPr>
      </w:pPr>
      <w:r>
        <w:rPr>
          <w:rFonts w:ascii="Arial" w:hAnsi="Arial" w:cs="Arial"/>
          <w:szCs w:val="22"/>
        </w:rPr>
        <w:t>S41 7PF</w:t>
      </w:r>
    </w:p>
    <w:p w:rsidR="0046067B" w:rsidRDefault="0046067B" w:rsidP="0046067B">
      <w:pPr>
        <w:jc w:val="right"/>
        <w:rPr>
          <w:rFonts w:ascii="Arial" w:hAnsi="Arial" w:cs="Arial"/>
          <w:szCs w:val="22"/>
        </w:rPr>
      </w:pPr>
    </w:p>
    <w:p w:rsidR="000F40D0" w:rsidRDefault="0046067B" w:rsidP="0046067B">
      <w:pPr>
        <w:jc w:val="right"/>
        <w:rPr>
          <w:rFonts w:ascii="Arial" w:hAnsi="Arial" w:cs="Arial"/>
          <w:szCs w:val="22"/>
        </w:rPr>
      </w:pPr>
      <w:r>
        <w:rPr>
          <w:rFonts w:ascii="Arial" w:hAnsi="Arial" w:cs="Arial"/>
          <w:szCs w:val="22"/>
        </w:rPr>
        <w:t>Tel: 01246 514965</w:t>
      </w:r>
    </w:p>
    <w:p w:rsidR="0046067B" w:rsidRPr="008E710B" w:rsidRDefault="0046067B" w:rsidP="0046067B">
      <w:pPr>
        <w:jc w:val="right"/>
        <w:rPr>
          <w:rFonts w:ascii="Arial" w:hAnsi="Arial" w:cs="Arial"/>
          <w:szCs w:val="22"/>
        </w:rPr>
      </w:pPr>
    </w:p>
    <w:p w:rsidR="000F40D0" w:rsidRPr="00CE2DE2" w:rsidRDefault="000F40D0" w:rsidP="000F40D0">
      <w:pPr>
        <w:spacing w:after="20"/>
        <w:jc w:val="right"/>
        <w:rPr>
          <w:rFonts w:ascii="Arial" w:hAnsi="Arial" w:cs="Arial"/>
          <w:noProof/>
          <w:sz w:val="18"/>
          <w:szCs w:val="18"/>
        </w:rPr>
      </w:pPr>
      <w:r w:rsidRPr="008E710B">
        <w:rPr>
          <w:rFonts w:ascii="Arial" w:hAnsi="Arial" w:cs="Arial"/>
          <w:szCs w:val="22"/>
        </w:rPr>
        <w:t>Date:</w:t>
      </w:r>
      <w:r>
        <w:rPr>
          <w:rFonts w:ascii="Arial" w:hAnsi="Arial" w:cs="Arial"/>
          <w:szCs w:val="22"/>
        </w:rPr>
        <w:t xml:space="preserve"> </w:t>
      </w:r>
      <w:r w:rsidR="003153D1">
        <w:rPr>
          <w:rFonts w:ascii="Arial" w:hAnsi="Arial" w:cs="Arial"/>
          <w:szCs w:val="22"/>
        </w:rPr>
        <w:t>12 March</w:t>
      </w:r>
      <w:r>
        <w:rPr>
          <w:rFonts w:ascii="Arial" w:hAnsi="Arial" w:cs="Arial"/>
          <w:szCs w:val="22"/>
        </w:rPr>
        <w:t xml:space="preserve"> 2016</w:t>
      </w:r>
    </w:p>
    <w:p w:rsidR="00BC1A7B" w:rsidRDefault="00BC1A7B" w:rsidP="00FD0FD2">
      <w:pPr>
        <w:pStyle w:val="Header"/>
        <w:tabs>
          <w:tab w:val="clear" w:pos="4513"/>
          <w:tab w:val="clear" w:pos="9026"/>
          <w:tab w:val="center" w:pos="4820"/>
          <w:tab w:val="right" w:pos="9781"/>
        </w:tabs>
        <w:ind w:left="284"/>
      </w:pPr>
      <w:r>
        <w:rPr>
          <w:rFonts w:ascii="Arial" w:hAnsi="Arial" w:cs="Arial"/>
          <w:b/>
          <w:bCs/>
          <w:noProof/>
          <w:color w:val="007BC1"/>
          <w:sz w:val="20"/>
          <w:szCs w:val="20"/>
          <w:lang w:eastAsia="en-GB"/>
        </w:rPr>
        <w:t xml:space="preserve">                                                   </w:t>
      </w:r>
      <w:r>
        <w:rPr>
          <w:rFonts w:ascii="Arial" w:hAnsi="Arial" w:cs="Arial"/>
          <w:b/>
          <w:bCs/>
          <w:noProof/>
          <w:color w:val="007BC1"/>
          <w:sz w:val="20"/>
          <w:szCs w:val="20"/>
          <w:lang w:eastAsia="en-GB"/>
        </w:rPr>
        <w:tab/>
        <w:t xml:space="preserve">   </w:t>
      </w:r>
    </w:p>
    <w:p w:rsidR="00BC1A7B" w:rsidRDefault="00BC1A7B" w:rsidP="00BC1A7B">
      <w:pPr>
        <w:rPr>
          <w:rFonts w:ascii="Arial" w:hAnsi="Arial" w:cs="Arial"/>
          <w:sz w:val="20"/>
        </w:rPr>
      </w:pPr>
    </w:p>
    <w:p w:rsidR="00BC1A7B" w:rsidRDefault="00BC1A7B" w:rsidP="00BC1A7B">
      <w:pPr>
        <w:spacing w:line="276" w:lineRule="auto"/>
        <w:jc w:val="center"/>
        <w:rPr>
          <w:rFonts w:ascii="Arial" w:hAnsi="Arial" w:cs="Arial"/>
          <w:b/>
          <w:sz w:val="20"/>
        </w:rPr>
      </w:pPr>
    </w:p>
    <w:p w:rsidR="0024192A" w:rsidRDefault="0024192A" w:rsidP="0024192A">
      <w:pPr>
        <w:jc w:val="center"/>
        <w:rPr>
          <w:rFonts w:ascii="Arial" w:hAnsi="Arial" w:cs="Arial"/>
          <w:b/>
          <w:bCs/>
          <w:color w:val="0000FF"/>
          <w:szCs w:val="22"/>
        </w:rPr>
      </w:pPr>
      <w:r>
        <w:rPr>
          <w:rFonts w:ascii="Arial" w:hAnsi="Arial" w:cs="Arial"/>
          <w:b/>
          <w:bCs/>
          <w:color w:val="0000FF"/>
          <w:szCs w:val="22"/>
        </w:rPr>
        <w:t>FREEDOM OF INFORMATION – DECISION NOTICE</w:t>
      </w:r>
    </w:p>
    <w:p w:rsidR="0024192A" w:rsidRPr="000F40D0" w:rsidRDefault="0024192A" w:rsidP="0024192A">
      <w:pPr>
        <w:rPr>
          <w:rFonts w:ascii="Arial" w:hAnsi="Arial" w:cs="Arial"/>
          <w:szCs w:val="22"/>
        </w:rPr>
      </w:pPr>
    </w:p>
    <w:p w:rsidR="00AC0D6C" w:rsidRPr="000F40D0" w:rsidRDefault="00AC0D6C" w:rsidP="00AC0D6C">
      <w:pPr>
        <w:rPr>
          <w:rFonts w:ascii="Arial" w:hAnsi="Arial" w:cs="Arial"/>
          <w:szCs w:val="22"/>
        </w:rPr>
      </w:pPr>
      <w:r w:rsidRPr="000F40D0">
        <w:rPr>
          <w:rFonts w:ascii="Arial" w:hAnsi="Arial" w:cs="Arial"/>
          <w:szCs w:val="22"/>
        </w:rPr>
        <w:t xml:space="preserve">Dear </w:t>
      </w:r>
      <w:r w:rsidR="003153D1">
        <w:rPr>
          <w:rFonts w:ascii="Arial" w:hAnsi="Arial" w:cs="Arial"/>
          <w:szCs w:val="22"/>
        </w:rPr>
        <w:t>Requester</w:t>
      </w:r>
    </w:p>
    <w:p w:rsidR="00AC0D6C" w:rsidRPr="000F40D0" w:rsidRDefault="00AC0D6C" w:rsidP="00AC0D6C">
      <w:pPr>
        <w:rPr>
          <w:rFonts w:ascii="Arial" w:hAnsi="Arial" w:cs="Arial"/>
          <w:szCs w:val="22"/>
        </w:rPr>
      </w:pPr>
    </w:p>
    <w:p w:rsidR="00AC0D6C" w:rsidRPr="000F40D0" w:rsidRDefault="00AC0D6C" w:rsidP="00AC0D6C">
      <w:pPr>
        <w:jc w:val="center"/>
        <w:rPr>
          <w:rFonts w:ascii="Arial" w:hAnsi="Arial" w:cs="Arial"/>
          <w:b/>
          <w:szCs w:val="22"/>
        </w:rPr>
      </w:pPr>
      <w:r w:rsidRPr="000F40D0">
        <w:rPr>
          <w:rFonts w:ascii="Arial" w:hAnsi="Arial" w:cs="Arial"/>
          <w:b/>
          <w:szCs w:val="22"/>
        </w:rPr>
        <w:t>FOI Reference Number:</w:t>
      </w:r>
      <w:r w:rsidR="0029291E" w:rsidRPr="000F40D0">
        <w:rPr>
          <w:rFonts w:ascii="Arial" w:hAnsi="Arial" w:cs="Arial"/>
          <w:b/>
          <w:szCs w:val="22"/>
        </w:rPr>
        <w:t xml:space="preserve"> </w:t>
      </w:r>
      <w:r w:rsidR="003153D1">
        <w:rPr>
          <w:rFonts w:ascii="Arial" w:hAnsi="Arial" w:cs="Arial"/>
          <w:b/>
          <w:szCs w:val="22"/>
        </w:rPr>
        <w:t>01358</w:t>
      </w:r>
    </w:p>
    <w:p w:rsidR="00AC0D6C" w:rsidRPr="000F40D0" w:rsidRDefault="00AC0D6C" w:rsidP="00AC0D6C">
      <w:pPr>
        <w:rPr>
          <w:rFonts w:ascii="Arial" w:hAnsi="Arial" w:cs="Arial"/>
          <w:szCs w:val="22"/>
        </w:rPr>
      </w:pPr>
    </w:p>
    <w:p w:rsidR="00AC0D6C" w:rsidRPr="000F40D0" w:rsidRDefault="00AC0D6C" w:rsidP="00AC0D6C">
      <w:pPr>
        <w:rPr>
          <w:rFonts w:ascii="Arial" w:hAnsi="Arial" w:cs="Arial"/>
          <w:szCs w:val="22"/>
        </w:rPr>
      </w:pPr>
      <w:r w:rsidRPr="000F40D0">
        <w:rPr>
          <w:rFonts w:ascii="Arial" w:hAnsi="Arial" w:cs="Arial"/>
          <w:szCs w:val="22"/>
        </w:rPr>
        <w:t xml:space="preserve">I refer to your email of </w:t>
      </w:r>
      <w:r w:rsidR="003153D1">
        <w:rPr>
          <w:rFonts w:ascii="Arial" w:hAnsi="Arial" w:cs="Arial"/>
          <w:szCs w:val="22"/>
        </w:rPr>
        <w:t>31 March 2016</w:t>
      </w:r>
      <w:r w:rsidR="00E72FDE" w:rsidRPr="000F40D0">
        <w:rPr>
          <w:rFonts w:ascii="Arial" w:hAnsi="Arial" w:cs="Arial"/>
          <w:szCs w:val="22"/>
        </w:rPr>
        <w:t xml:space="preserve"> </w:t>
      </w:r>
      <w:r w:rsidRPr="000F40D0">
        <w:rPr>
          <w:rFonts w:ascii="Arial" w:hAnsi="Arial" w:cs="Arial"/>
          <w:szCs w:val="22"/>
        </w:rPr>
        <w:t xml:space="preserve">requesting information in respect of </w:t>
      </w:r>
      <w:r w:rsidR="003153D1">
        <w:rPr>
          <w:rFonts w:ascii="Arial" w:hAnsi="Arial" w:cs="Arial"/>
          <w:szCs w:val="22"/>
        </w:rPr>
        <w:t>expenditure on mental health services.</w:t>
      </w:r>
    </w:p>
    <w:p w:rsidR="00AC0D6C" w:rsidRPr="000F40D0" w:rsidRDefault="00AC0D6C" w:rsidP="00AC0D6C">
      <w:pPr>
        <w:overflowPunct w:val="0"/>
        <w:rPr>
          <w:rFonts w:ascii="Arial" w:hAnsi="Arial" w:cs="Arial"/>
          <w:szCs w:val="22"/>
        </w:rPr>
      </w:pPr>
    </w:p>
    <w:p w:rsidR="00AC0D6C" w:rsidRDefault="00AC0D6C" w:rsidP="00AC0D6C">
      <w:pPr>
        <w:overflowPunct w:val="0"/>
        <w:rPr>
          <w:rFonts w:ascii="Arial" w:hAnsi="Arial" w:cs="Arial"/>
          <w:szCs w:val="22"/>
        </w:rPr>
      </w:pPr>
      <w:r w:rsidRPr="000F40D0">
        <w:rPr>
          <w:rFonts w:ascii="Arial" w:hAnsi="Arial" w:cs="Arial"/>
          <w:szCs w:val="22"/>
        </w:rPr>
        <w:t>I can confirm on behalf of</w:t>
      </w:r>
      <w:r w:rsidR="00856881" w:rsidRPr="000F40D0">
        <w:rPr>
          <w:rFonts w:ascii="Arial" w:hAnsi="Arial" w:cs="Arial"/>
          <w:szCs w:val="22"/>
        </w:rPr>
        <w:t xml:space="preserve"> NHS Sandwell and West Birmingham CCG </w:t>
      </w:r>
      <w:r w:rsidRPr="000F40D0">
        <w:rPr>
          <w:rFonts w:ascii="Arial" w:hAnsi="Arial" w:cs="Arial"/>
          <w:szCs w:val="22"/>
        </w:rPr>
        <w:t>and in accordance with S.1 (1) of the Freedom of Information Act 2000 (FOIA) that we do</w:t>
      </w:r>
      <w:r w:rsidR="003148B8" w:rsidRPr="000F40D0">
        <w:rPr>
          <w:rFonts w:ascii="Arial" w:hAnsi="Arial" w:cs="Arial"/>
          <w:szCs w:val="22"/>
        </w:rPr>
        <w:t xml:space="preserve"> </w:t>
      </w:r>
      <w:r w:rsidRPr="000F40D0">
        <w:rPr>
          <w:rFonts w:ascii="Arial" w:hAnsi="Arial" w:cs="Arial"/>
          <w:szCs w:val="22"/>
        </w:rPr>
        <w:t xml:space="preserve">hold the information that you have requested. A response to each element of your request is detailed below: </w:t>
      </w:r>
    </w:p>
    <w:p w:rsidR="003153D1" w:rsidRDefault="003153D1" w:rsidP="00AC0D6C">
      <w:pPr>
        <w:overflowPunct w:val="0"/>
        <w:rPr>
          <w:rFonts w:ascii="Arial" w:hAnsi="Arial" w:cs="Arial"/>
          <w:szCs w:val="22"/>
        </w:rPr>
      </w:pPr>
    </w:p>
    <w:tbl>
      <w:tblPr>
        <w:tblW w:w="6440" w:type="dxa"/>
        <w:jc w:val="center"/>
        <w:tblInd w:w="93" w:type="dxa"/>
        <w:tblLook w:val="04A0" w:firstRow="1" w:lastRow="0" w:firstColumn="1" w:lastColumn="0" w:noHBand="0" w:noVBand="1"/>
      </w:tblPr>
      <w:tblGrid>
        <w:gridCol w:w="1760"/>
        <w:gridCol w:w="1554"/>
        <w:gridCol w:w="1572"/>
        <w:gridCol w:w="1554"/>
      </w:tblGrid>
      <w:tr w:rsidR="003153D1" w:rsidRPr="003153D1" w:rsidTr="003153D1">
        <w:trPr>
          <w:trHeight w:val="315"/>
          <w:jc w:val="center"/>
        </w:trPr>
        <w:tc>
          <w:tcPr>
            <w:tcW w:w="1760" w:type="dxa"/>
            <w:tcBorders>
              <w:top w:val="single" w:sz="12" w:space="0" w:color="auto"/>
              <w:left w:val="single" w:sz="12" w:space="0" w:color="auto"/>
              <w:bottom w:val="nil"/>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w:t>
            </w:r>
          </w:p>
        </w:tc>
        <w:tc>
          <w:tcPr>
            <w:tcW w:w="4680" w:type="dxa"/>
            <w:gridSpan w:val="3"/>
            <w:tcBorders>
              <w:top w:val="single" w:sz="12" w:space="0" w:color="auto"/>
              <w:left w:val="nil"/>
              <w:bottom w:val="nil"/>
              <w:right w:val="single" w:sz="12" w:space="0" w:color="auto"/>
            </w:tcBorders>
            <w:shd w:val="clear" w:color="000000" w:fill="FFFFFF"/>
            <w:noWrap/>
            <w:vAlign w:val="bottom"/>
            <w:hideMark/>
          </w:tcPr>
          <w:p w:rsidR="003153D1" w:rsidRPr="003153D1" w:rsidRDefault="003153D1" w:rsidP="003153D1">
            <w:pPr>
              <w:jc w:val="center"/>
              <w:rPr>
                <w:rFonts w:ascii="Calibri" w:hAnsi="Calibri" w:cs="Calibri"/>
                <w:b/>
                <w:bCs/>
                <w:color w:val="000000"/>
                <w:szCs w:val="22"/>
                <w:lang w:eastAsia="en-GB"/>
              </w:rPr>
            </w:pPr>
            <w:r w:rsidRPr="003153D1">
              <w:rPr>
                <w:rFonts w:ascii="Calibri" w:hAnsi="Calibri" w:cs="Calibri"/>
                <w:b/>
                <w:bCs/>
                <w:color w:val="000000"/>
                <w:szCs w:val="22"/>
                <w:lang w:eastAsia="en-GB"/>
              </w:rPr>
              <w:t>Expenditure (£) by Financial Year</w:t>
            </w:r>
          </w:p>
        </w:tc>
      </w:tr>
      <w:tr w:rsidR="003153D1" w:rsidRPr="003153D1" w:rsidTr="003153D1">
        <w:trPr>
          <w:trHeight w:val="315"/>
          <w:jc w:val="center"/>
        </w:trPr>
        <w:tc>
          <w:tcPr>
            <w:tcW w:w="1760" w:type="dxa"/>
            <w:tcBorders>
              <w:top w:val="nil"/>
              <w:left w:val="single" w:sz="12" w:space="0" w:color="auto"/>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b/>
                <w:bCs/>
                <w:color w:val="000000"/>
                <w:szCs w:val="22"/>
                <w:lang w:eastAsia="en-GB"/>
              </w:rPr>
            </w:pPr>
            <w:r w:rsidRPr="003153D1">
              <w:rPr>
                <w:rFonts w:ascii="Calibri" w:hAnsi="Calibri" w:cs="Calibri"/>
                <w:b/>
                <w:bCs/>
                <w:color w:val="000000"/>
                <w:szCs w:val="22"/>
                <w:lang w:eastAsia="en-GB"/>
              </w:rPr>
              <w:t>Expenditure Type</w:t>
            </w:r>
          </w:p>
        </w:tc>
        <w:tc>
          <w:tcPr>
            <w:tcW w:w="1554" w:type="dxa"/>
            <w:tcBorders>
              <w:top w:val="nil"/>
              <w:left w:val="nil"/>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13/14</w:t>
            </w:r>
          </w:p>
        </w:tc>
        <w:tc>
          <w:tcPr>
            <w:tcW w:w="1572" w:type="dxa"/>
            <w:tcBorders>
              <w:top w:val="nil"/>
              <w:left w:val="nil"/>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14/15</w:t>
            </w:r>
          </w:p>
        </w:tc>
        <w:tc>
          <w:tcPr>
            <w:tcW w:w="1554" w:type="dxa"/>
            <w:tcBorders>
              <w:top w:val="nil"/>
              <w:left w:val="nil"/>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15/16</w:t>
            </w:r>
          </w:p>
        </w:tc>
      </w:tr>
      <w:tr w:rsidR="003153D1" w:rsidRPr="003153D1" w:rsidTr="003153D1">
        <w:trPr>
          <w:trHeight w:val="315"/>
          <w:jc w:val="center"/>
        </w:trPr>
        <w:tc>
          <w:tcPr>
            <w:tcW w:w="1760" w:type="dxa"/>
            <w:tcBorders>
              <w:top w:val="nil"/>
              <w:left w:val="single" w:sz="12" w:space="0" w:color="auto"/>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b/>
                <w:bCs/>
                <w:color w:val="000000"/>
                <w:szCs w:val="22"/>
                <w:u w:val="single"/>
                <w:lang w:eastAsia="en-GB"/>
              </w:rPr>
            </w:pPr>
            <w:r w:rsidRPr="003153D1">
              <w:rPr>
                <w:rFonts w:ascii="Calibri" w:hAnsi="Calibri" w:cs="Calibri"/>
                <w:b/>
                <w:bCs/>
                <w:color w:val="000000"/>
                <w:szCs w:val="22"/>
                <w:u w:val="single"/>
                <w:lang w:eastAsia="en-GB"/>
              </w:rPr>
              <w:t xml:space="preserve">Total </w:t>
            </w:r>
          </w:p>
        </w:tc>
        <w:tc>
          <w:tcPr>
            <w:tcW w:w="1554"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b/>
                <w:bCs/>
                <w:color w:val="000000"/>
                <w:szCs w:val="22"/>
                <w:u w:val="single"/>
                <w:lang w:eastAsia="en-GB"/>
              </w:rPr>
            </w:pPr>
            <w:r w:rsidRPr="003153D1">
              <w:rPr>
                <w:rFonts w:ascii="Calibri" w:hAnsi="Calibri" w:cs="Calibri"/>
                <w:b/>
                <w:bCs/>
                <w:color w:val="000000"/>
                <w:szCs w:val="22"/>
                <w:u w:val="single"/>
                <w:lang w:eastAsia="en-GB"/>
              </w:rPr>
              <w:t xml:space="preserve">    79,566,800.00 </w:t>
            </w:r>
          </w:p>
        </w:tc>
        <w:tc>
          <w:tcPr>
            <w:tcW w:w="1572"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b/>
                <w:bCs/>
                <w:color w:val="000000"/>
                <w:szCs w:val="22"/>
                <w:u w:val="single"/>
                <w:lang w:eastAsia="en-GB"/>
              </w:rPr>
            </w:pPr>
            <w:r w:rsidRPr="003153D1">
              <w:rPr>
                <w:rFonts w:ascii="Calibri" w:hAnsi="Calibri" w:cs="Calibri"/>
                <w:b/>
                <w:bCs/>
                <w:color w:val="000000"/>
                <w:szCs w:val="22"/>
                <w:u w:val="single"/>
                <w:lang w:eastAsia="en-GB"/>
              </w:rPr>
              <w:t xml:space="preserve">    86,986,085.15 </w:t>
            </w:r>
          </w:p>
        </w:tc>
        <w:tc>
          <w:tcPr>
            <w:tcW w:w="1554"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b/>
                <w:bCs/>
                <w:color w:val="000000"/>
                <w:szCs w:val="22"/>
                <w:u w:val="single"/>
                <w:lang w:eastAsia="en-GB"/>
              </w:rPr>
            </w:pPr>
            <w:r w:rsidRPr="003153D1">
              <w:rPr>
                <w:rFonts w:ascii="Calibri" w:hAnsi="Calibri" w:cs="Calibri"/>
                <w:b/>
                <w:bCs/>
                <w:color w:val="000000"/>
                <w:szCs w:val="22"/>
                <w:u w:val="single"/>
                <w:lang w:eastAsia="en-GB"/>
              </w:rPr>
              <w:t xml:space="preserve">    91,204,254.96 </w:t>
            </w:r>
          </w:p>
        </w:tc>
      </w:tr>
      <w:tr w:rsidR="003153D1" w:rsidRPr="003153D1" w:rsidTr="003153D1">
        <w:trPr>
          <w:trHeight w:val="300"/>
          <w:jc w:val="center"/>
        </w:trPr>
        <w:tc>
          <w:tcPr>
            <w:tcW w:w="1760" w:type="dxa"/>
            <w:tcBorders>
              <w:top w:val="nil"/>
              <w:left w:val="single" w:sz="12" w:space="0" w:color="auto"/>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Public Sector</w:t>
            </w:r>
          </w:p>
        </w:tc>
        <w:tc>
          <w:tcPr>
            <w:tcW w:w="1554"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65,610,474.00 </w:t>
            </w:r>
          </w:p>
        </w:tc>
        <w:tc>
          <w:tcPr>
            <w:tcW w:w="1572"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69,025,380.89 </w:t>
            </w:r>
          </w:p>
        </w:tc>
        <w:tc>
          <w:tcPr>
            <w:tcW w:w="1554"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72,203,621.32 </w:t>
            </w:r>
          </w:p>
        </w:tc>
      </w:tr>
      <w:tr w:rsidR="003153D1" w:rsidRPr="003153D1" w:rsidTr="003153D1">
        <w:trPr>
          <w:trHeight w:val="300"/>
          <w:jc w:val="center"/>
        </w:trPr>
        <w:tc>
          <w:tcPr>
            <w:tcW w:w="1760" w:type="dxa"/>
            <w:tcBorders>
              <w:top w:val="nil"/>
              <w:left w:val="single" w:sz="12" w:space="0" w:color="auto"/>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Private Sector</w:t>
            </w:r>
          </w:p>
        </w:tc>
        <w:tc>
          <w:tcPr>
            <w:tcW w:w="1554"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13,104,989.00 </w:t>
            </w:r>
          </w:p>
        </w:tc>
        <w:tc>
          <w:tcPr>
            <w:tcW w:w="1572"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16,802,705.26 </w:t>
            </w:r>
          </w:p>
        </w:tc>
        <w:tc>
          <w:tcPr>
            <w:tcW w:w="1554" w:type="dxa"/>
            <w:tcBorders>
              <w:top w:val="nil"/>
              <w:left w:val="nil"/>
              <w:bottom w:val="single" w:sz="4"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18,607,118.64 </w:t>
            </w:r>
          </w:p>
        </w:tc>
      </w:tr>
      <w:tr w:rsidR="003153D1" w:rsidRPr="003153D1" w:rsidTr="003153D1">
        <w:trPr>
          <w:trHeight w:val="315"/>
          <w:jc w:val="center"/>
        </w:trPr>
        <w:tc>
          <w:tcPr>
            <w:tcW w:w="1760" w:type="dxa"/>
            <w:tcBorders>
              <w:top w:val="nil"/>
              <w:left w:val="single" w:sz="12" w:space="0" w:color="auto"/>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Voluntary Sector</w:t>
            </w:r>
          </w:p>
        </w:tc>
        <w:tc>
          <w:tcPr>
            <w:tcW w:w="1554" w:type="dxa"/>
            <w:tcBorders>
              <w:top w:val="nil"/>
              <w:left w:val="nil"/>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851,337.00 </w:t>
            </w:r>
          </w:p>
        </w:tc>
        <w:tc>
          <w:tcPr>
            <w:tcW w:w="1572" w:type="dxa"/>
            <w:tcBorders>
              <w:top w:val="nil"/>
              <w:left w:val="nil"/>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1,157,999.00 </w:t>
            </w:r>
          </w:p>
        </w:tc>
        <w:tc>
          <w:tcPr>
            <w:tcW w:w="1554" w:type="dxa"/>
            <w:tcBorders>
              <w:top w:val="nil"/>
              <w:left w:val="nil"/>
              <w:bottom w:val="single" w:sz="12" w:space="0" w:color="auto"/>
              <w:right w:val="single" w:sz="12" w:space="0" w:color="auto"/>
            </w:tcBorders>
            <w:shd w:val="clear" w:color="000000" w:fill="FFFFFF"/>
            <w:noWrap/>
            <w:vAlign w:val="bottom"/>
            <w:hideMark/>
          </w:tcPr>
          <w:p w:rsidR="003153D1" w:rsidRPr="003153D1" w:rsidRDefault="003153D1" w:rsidP="003153D1">
            <w:pPr>
              <w:rPr>
                <w:rFonts w:ascii="Calibri" w:hAnsi="Calibri" w:cs="Calibri"/>
                <w:color w:val="000000"/>
                <w:szCs w:val="22"/>
                <w:lang w:eastAsia="en-GB"/>
              </w:rPr>
            </w:pPr>
            <w:r w:rsidRPr="003153D1">
              <w:rPr>
                <w:rFonts w:ascii="Calibri" w:hAnsi="Calibri" w:cs="Calibri"/>
                <w:color w:val="000000"/>
                <w:szCs w:val="22"/>
                <w:lang w:eastAsia="en-GB"/>
              </w:rPr>
              <w:t xml:space="preserve">          393,515.00 </w:t>
            </w:r>
          </w:p>
        </w:tc>
      </w:tr>
    </w:tbl>
    <w:p w:rsidR="000468F7" w:rsidRPr="000F40D0" w:rsidRDefault="000468F7" w:rsidP="0024192A">
      <w:pPr>
        <w:rPr>
          <w:rFonts w:ascii="Arial" w:hAnsi="Arial" w:cs="Arial"/>
          <w:i/>
          <w:szCs w:val="22"/>
        </w:rPr>
      </w:pPr>
    </w:p>
    <w:p w:rsidR="00107930" w:rsidRPr="000F40D0" w:rsidRDefault="00107930" w:rsidP="00107930">
      <w:pPr>
        <w:rPr>
          <w:rFonts w:ascii="Arial" w:hAnsi="Arial" w:cs="Arial"/>
          <w:szCs w:val="22"/>
        </w:rPr>
      </w:pPr>
      <w:r w:rsidRPr="000F40D0">
        <w:rPr>
          <w:rFonts w:ascii="Arial" w:hAnsi="Arial" w:cs="Arial"/>
          <w:szCs w:val="22"/>
        </w:rPr>
        <w:t>I trust that this answers your queries with the information we currently hold, but if I can be of any further assistance please do not hesitate to contact me. </w:t>
      </w:r>
    </w:p>
    <w:p w:rsidR="00107930" w:rsidRPr="000F40D0" w:rsidRDefault="00107930" w:rsidP="00107930">
      <w:pPr>
        <w:rPr>
          <w:rFonts w:ascii="Arial" w:hAnsi="Arial" w:cs="Arial"/>
          <w:szCs w:val="22"/>
        </w:rPr>
      </w:pPr>
      <w:r w:rsidRPr="000F40D0">
        <w:rPr>
          <w:rFonts w:ascii="Arial" w:hAnsi="Arial" w:cs="Arial"/>
          <w:szCs w:val="22"/>
        </w:rPr>
        <w:t xml:space="preserve"> </w:t>
      </w:r>
    </w:p>
    <w:p w:rsidR="00107930" w:rsidRPr="000F40D0" w:rsidRDefault="00107930" w:rsidP="00107930">
      <w:pPr>
        <w:jc w:val="both"/>
        <w:rPr>
          <w:rFonts w:ascii="Arial" w:hAnsi="Arial" w:cs="Arial"/>
          <w:szCs w:val="22"/>
        </w:rPr>
      </w:pPr>
      <w:r w:rsidRPr="000F40D0">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rsidR="00107930" w:rsidRPr="000F40D0" w:rsidRDefault="00107930" w:rsidP="00107930">
      <w:pPr>
        <w:ind w:left="720"/>
        <w:jc w:val="both"/>
        <w:rPr>
          <w:rFonts w:ascii="Arial" w:hAnsi="Arial" w:cs="Arial"/>
          <w:szCs w:val="22"/>
        </w:rPr>
      </w:pPr>
    </w:p>
    <w:p w:rsidR="00107930" w:rsidRPr="000F40D0" w:rsidRDefault="00107930" w:rsidP="00107930">
      <w:pPr>
        <w:ind w:left="720"/>
        <w:jc w:val="both"/>
        <w:rPr>
          <w:rFonts w:ascii="Arial" w:hAnsi="Arial" w:cs="Arial"/>
          <w:szCs w:val="22"/>
        </w:rPr>
      </w:pPr>
      <w:r w:rsidRPr="000F40D0">
        <w:rPr>
          <w:rFonts w:ascii="Arial" w:hAnsi="Arial" w:cs="Arial"/>
          <w:szCs w:val="22"/>
        </w:rPr>
        <w:t>Arden &amp; GEM Commissioning Support Unit</w:t>
      </w:r>
    </w:p>
    <w:p w:rsidR="00107930" w:rsidRPr="000F40D0" w:rsidRDefault="00107930" w:rsidP="00107930">
      <w:pPr>
        <w:ind w:left="720"/>
        <w:jc w:val="both"/>
        <w:rPr>
          <w:rFonts w:ascii="Arial" w:hAnsi="Arial" w:cs="Arial"/>
          <w:szCs w:val="22"/>
        </w:rPr>
      </w:pPr>
      <w:r w:rsidRPr="000F40D0">
        <w:rPr>
          <w:rFonts w:ascii="Arial" w:hAnsi="Arial" w:cs="Arial"/>
          <w:szCs w:val="22"/>
        </w:rPr>
        <w:t>FOI TEAM</w:t>
      </w:r>
    </w:p>
    <w:p w:rsidR="00107930" w:rsidRPr="000F40D0" w:rsidRDefault="004E5941" w:rsidP="00107930">
      <w:pPr>
        <w:ind w:firstLine="720"/>
        <w:rPr>
          <w:rFonts w:ascii="Arial" w:hAnsi="Arial" w:cs="Arial"/>
          <w:color w:val="000000"/>
          <w:szCs w:val="22"/>
          <w:lang w:eastAsia="en-GB"/>
        </w:rPr>
      </w:pPr>
      <w:hyperlink r:id="rId9" w:history="1">
        <w:r w:rsidR="00856881" w:rsidRPr="000F40D0">
          <w:rPr>
            <w:rStyle w:val="Hyperlink"/>
            <w:rFonts w:ascii="Arial" w:hAnsi="Arial" w:cs="Arial"/>
            <w:szCs w:val="22"/>
          </w:rPr>
          <w:t>FOI.birminghamccgs@ardengemcsu.nhs.uk</w:t>
        </w:r>
      </w:hyperlink>
    </w:p>
    <w:p w:rsidR="00107930" w:rsidRPr="000F40D0" w:rsidRDefault="00107930" w:rsidP="00107930">
      <w:pPr>
        <w:ind w:left="720"/>
        <w:jc w:val="both"/>
        <w:rPr>
          <w:rFonts w:ascii="Arial" w:hAnsi="Arial" w:cs="Arial"/>
          <w:szCs w:val="22"/>
        </w:rPr>
      </w:pPr>
    </w:p>
    <w:p w:rsidR="00107930" w:rsidRPr="000F40D0" w:rsidRDefault="00107930" w:rsidP="00107930">
      <w:pPr>
        <w:jc w:val="both"/>
        <w:rPr>
          <w:rFonts w:ascii="Arial" w:hAnsi="Arial" w:cs="Arial"/>
          <w:szCs w:val="22"/>
        </w:rPr>
      </w:pPr>
    </w:p>
    <w:p w:rsidR="00107930" w:rsidRPr="000F40D0" w:rsidRDefault="00107930" w:rsidP="00107930">
      <w:pPr>
        <w:rPr>
          <w:rFonts w:ascii="Arial" w:hAnsi="Arial" w:cs="Arial"/>
          <w:szCs w:val="22"/>
        </w:rPr>
      </w:pPr>
      <w:r w:rsidRPr="000F40D0">
        <w:rPr>
          <w:rFonts w:ascii="Arial" w:hAnsi="Arial" w:cs="Arial"/>
          <w:szCs w:val="22"/>
        </w:rPr>
        <w:t xml:space="preserve">If you are not content with the outcome of </w:t>
      </w:r>
      <w:r w:rsidR="00E61D59" w:rsidRPr="000F40D0">
        <w:rPr>
          <w:rFonts w:ascii="Arial" w:hAnsi="Arial" w:cs="Arial"/>
          <w:szCs w:val="22"/>
        </w:rPr>
        <w:t>the review</w:t>
      </w:r>
      <w:r w:rsidRPr="000F40D0">
        <w:rPr>
          <w:rFonts w:ascii="Arial" w:hAnsi="Arial" w:cs="Arial"/>
          <w:szCs w:val="22"/>
        </w:rPr>
        <w:t xml:space="preserve">, you may apply directly to the Information Commissioner for a decision. Generally, the ICO cannot make a decision unless you have exhausted the </w:t>
      </w:r>
      <w:r w:rsidR="00E61D59" w:rsidRPr="000F40D0">
        <w:rPr>
          <w:rFonts w:ascii="Arial" w:hAnsi="Arial" w:cs="Arial"/>
          <w:szCs w:val="22"/>
        </w:rPr>
        <w:t>review</w:t>
      </w:r>
      <w:r w:rsidRPr="000F40D0">
        <w:rPr>
          <w:rFonts w:ascii="Arial" w:hAnsi="Arial" w:cs="Arial"/>
          <w:szCs w:val="22"/>
        </w:rPr>
        <w:t xml:space="preserve"> procedure provided by </w:t>
      </w:r>
      <w:r w:rsidR="00E61D59" w:rsidRPr="000F40D0">
        <w:rPr>
          <w:rFonts w:ascii="Arial" w:hAnsi="Arial" w:cs="Arial"/>
          <w:szCs w:val="22"/>
        </w:rPr>
        <w:t>the CCG</w:t>
      </w:r>
      <w:r w:rsidRPr="000F40D0">
        <w:rPr>
          <w:rFonts w:ascii="Arial" w:hAnsi="Arial" w:cs="Arial"/>
          <w:szCs w:val="22"/>
        </w:rPr>
        <w:t xml:space="preserve">. </w:t>
      </w:r>
    </w:p>
    <w:p w:rsidR="00107930" w:rsidRPr="000F40D0" w:rsidRDefault="00107930" w:rsidP="00107930">
      <w:pPr>
        <w:rPr>
          <w:rFonts w:ascii="Arial" w:hAnsi="Arial" w:cs="Arial"/>
          <w:szCs w:val="22"/>
        </w:rPr>
      </w:pPr>
    </w:p>
    <w:p w:rsidR="00107930" w:rsidRPr="000F40D0" w:rsidRDefault="00107930" w:rsidP="00107930">
      <w:pPr>
        <w:rPr>
          <w:rFonts w:ascii="Arial" w:hAnsi="Arial" w:cs="Arial"/>
          <w:szCs w:val="22"/>
        </w:rPr>
      </w:pPr>
      <w:r w:rsidRPr="000F40D0">
        <w:rPr>
          <w:rFonts w:ascii="Arial" w:hAnsi="Arial" w:cs="Arial"/>
          <w:szCs w:val="22"/>
        </w:rPr>
        <w:t xml:space="preserve">The Information Commissioner can be contacted at: Information Commissioners Office, Wycliffe House, Water Lane, Wilmslow, </w:t>
      </w:r>
      <w:proofErr w:type="gramStart"/>
      <w:r w:rsidRPr="000F40D0">
        <w:rPr>
          <w:rFonts w:ascii="Arial" w:hAnsi="Arial" w:cs="Arial"/>
          <w:szCs w:val="22"/>
        </w:rPr>
        <w:t>Cheshire</w:t>
      </w:r>
      <w:proofErr w:type="gramEnd"/>
      <w:r w:rsidRPr="000F40D0">
        <w:rPr>
          <w:rFonts w:ascii="Arial" w:hAnsi="Arial" w:cs="Arial"/>
          <w:szCs w:val="22"/>
        </w:rPr>
        <w:t xml:space="preserve"> SK9 5AF, telephone 0845 630 6060, email </w:t>
      </w:r>
      <w:r w:rsidRPr="000F40D0">
        <w:rPr>
          <w:rFonts w:ascii="Arial" w:hAnsi="Arial" w:cs="Arial"/>
          <w:szCs w:val="22"/>
          <w:u w:val="single"/>
        </w:rPr>
        <w:t>mail@ico.gsi.gov.uk</w:t>
      </w:r>
    </w:p>
    <w:p w:rsidR="00107930" w:rsidRPr="000F40D0" w:rsidRDefault="00107930" w:rsidP="00107930">
      <w:pPr>
        <w:overflowPunct w:val="0"/>
        <w:rPr>
          <w:rFonts w:ascii="Arial" w:hAnsi="Arial" w:cs="Arial"/>
          <w:szCs w:val="22"/>
        </w:rPr>
      </w:pPr>
    </w:p>
    <w:p w:rsidR="00107930" w:rsidRPr="000F40D0" w:rsidRDefault="00107930" w:rsidP="00107930">
      <w:pPr>
        <w:jc w:val="both"/>
        <w:rPr>
          <w:rFonts w:ascii="Arial" w:hAnsi="Arial" w:cs="Arial"/>
          <w:szCs w:val="22"/>
        </w:rPr>
      </w:pPr>
      <w:r w:rsidRPr="000F40D0">
        <w:rPr>
          <w:rFonts w:ascii="Arial" w:hAnsi="Arial" w:cs="Arial"/>
          <w:szCs w:val="22"/>
        </w:rPr>
        <w:t>The FOIA gives a right of access to information but no right to re-use it. Datasets provided may be subject to Intellectual Property Rights and the re-use of datasets requires permission. Please contact us if you intend to re-use information provided by us.</w:t>
      </w:r>
    </w:p>
    <w:p w:rsidR="00107930" w:rsidRPr="000F40D0" w:rsidRDefault="00107930" w:rsidP="00107930">
      <w:pPr>
        <w:jc w:val="both"/>
        <w:rPr>
          <w:rFonts w:ascii="Arial" w:hAnsi="Arial" w:cs="Arial"/>
          <w:szCs w:val="22"/>
        </w:rPr>
      </w:pPr>
      <w:r w:rsidRPr="000F40D0">
        <w:rPr>
          <w:rFonts w:ascii="Arial" w:hAnsi="Arial" w:cs="Arial"/>
          <w:szCs w:val="22"/>
        </w:rPr>
        <w:t xml:space="preserve">For the conditions of re-use please refer to the Open Government License for public sector information: </w:t>
      </w:r>
      <w:hyperlink r:id="rId10" w:history="1">
        <w:r w:rsidRPr="000F40D0">
          <w:rPr>
            <w:rStyle w:val="Hyperlink"/>
            <w:rFonts w:ascii="Arial" w:hAnsi="Arial" w:cs="Arial"/>
            <w:szCs w:val="22"/>
          </w:rPr>
          <w:t>http://www.nationalarchives.gov.uk/doc/open-government-licence/version/2/</w:t>
        </w:r>
      </w:hyperlink>
    </w:p>
    <w:p w:rsidR="0024192A" w:rsidRPr="000F40D0" w:rsidRDefault="0024192A" w:rsidP="0024192A">
      <w:pPr>
        <w:overflowPunct w:val="0"/>
        <w:rPr>
          <w:rFonts w:ascii="Arial" w:hAnsi="Arial" w:cs="Arial"/>
          <w:szCs w:val="22"/>
        </w:rPr>
      </w:pPr>
    </w:p>
    <w:p w:rsidR="00245EBB" w:rsidRPr="000F40D0" w:rsidRDefault="00245EBB" w:rsidP="0024192A">
      <w:pPr>
        <w:overflowPunct w:val="0"/>
        <w:rPr>
          <w:rFonts w:ascii="Arial" w:hAnsi="Arial" w:cs="Arial"/>
          <w:szCs w:val="22"/>
        </w:rPr>
      </w:pPr>
    </w:p>
    <w:p w:rsidR="00DC44EB" w:rsidRDefault="0024192A" w:rsidP="00DC44EB">
      <w:pPr>
        <w:overflowPunct w:val="0"/>
        <w:rPr>
          <w:rFonts w:ascii="Arial" w:hAnsi="Arial" w:cs="Arial"/>
          <w:szCs w:val="22"/>
        </w:rPr>
      </w:pPr>
      <w:r w:rsidRPr="000F40D0">
        <w:rPr>
          <w:rFonts w:ascii="Arial" w:hAnsi="Arial" w:cs="Arial"/>
          <w:szCs w:val="22"/>
        </w:rPr>
        <w:t>Y</w:t>
      </w:r>
      <w:r w:rsidR="00DC44EB" w:rsidRPr="000F40D0">
        <w:rPr>
          <w:rFonts w:ascii="Arial" w:hAnsi="Arial" w:cs="Arial"/>
          <w:szCs w:val="22"/>
        </w:rPr>
        <w:t>ours faithfully</w:t>
      </w:r>
    </w:p>
    <w:p w:rsidR="003153D1" w:rsidRDefault="003153D1" w:rsidP="00DC44EB">
      <w:pPr>
        <w:overflowPunct w:val="0"/>
        <w:rPr>
          <w:rFonts w:ascii="Arial" w:hAnsi="Arial" w:cs="Arial"/>
          <w:szCs w:val="22"/>
        </w:rPr>
      </w:pPr>
    </w:p>
    <w:p w:rsidR="003153D1" w:rsidRDefault="003153D1" w:rsidP="00DC44EB">
      <w:pPr>
        <w:overflowPunct w:val="0"/>
        <w:rPr>
          <w:rFonts w:ascii="Arial" w:hAnsi="Arial" w:cs="Arial"/>
          <w:szCs w:val="22"/>
        </w:rPr>
      </w:pPr>
    </w:p>
    <w:p w:rsidR="00DC44EB" w:rsidRPr="00D25330" w:rsidRDefault="003153D1" w:rsidP="00DC44EB">
      <w:pPr>
        <w:overflowPunct w:val="0"/>
        <w:rPr>
          <w:rFonts w:ascii="Arial" w:hAnsi="Arial" w:cs="Arial"/>
          <w:b/>
          <w:szCs w:val="22"/>
        </w:rPr>
      </w:pPr>
      <w:r w:rsidRPr="00D25330">
        <w:rPr>
          <w:rFonts w:ascii="Arial" w:hAnsi="Arial" w:cs="Arial"/>
          <w:b/>
          <w:szCs w:val="22"/>
        </w:rPr>
        <w:t>Philip Humphreys</w:t>
      </w:r>
    </w:p>
    <w:p w:rsidR="008468C8" w:rsidRPr="00D25330" w:rsidRDefault="008468C8" w:rsidP="00DC44EB">
      <w:pPr>
        <w:tabs>
          <w:tab w:val="left" w:pos="6015"/>
          <w:tab w:val="left" w:pos="8865"/>
        </w:tabs>
        <w:rPr>
          <w:rFonts w:ascii="Arial" w:hAnsi="Arial" w:cs="Arial"/>
          <w:szCs w:val="22"/>
        </w:rPr>
      </w:pPr>
      <w:r w:rsidRPr="00D25330">
        <w:rPr>
          <w:rFonts w:ascii="Arial" w:hAnsi="Arial" w:cs="Arial"/>
          <w:szCs w:val="22"/>
        </w:rPr>
        <w:t xml:space="preserve">FOI </w:t>
      </w:r>
      <w:r w:rsidR="007F585A" w:rsidRPr="00D25330">
        <w:rPr>
          <w:rFonts w:ascii="Arial" w:hAnsi="Arial" w:cs="Arial"/>
          <w:szCs w:val="22"/>
        </w:rPr>
        <w:t>Manager</w:t>
      </w:r>
      <w:r w:rsidR="00107930" w:rsidRPr="00D25330">
        <w:rPr>
          <w:rFonts w:ascii="Arial" w:hAnsi="Arial" w:cs="Arial"/>
          <w:szCs w:val="22"/>
        </w:rPr>
        <w:t xml:space="preserve">, Arden &amp; GEM CSU </w:t>
      </w:r>
    </w:p>
    <w:p w:rsidR="003153D1" w:rsidRDefault="003153D1" w:rsidP="00793D45">
      <w:pPr>
        <w:rPr>
          <w:rFonts w:ascii="Arial" w:hAnsi="Arial" w:cs="Arial"/>
          <w:b/>
          <w:i/>
          <w:szCs w:val="22"/>
        </w:rPr>
      </w:pPr>
    </w:p>
    <w:p w:rsidR="00793D45" w:rsidRPr="00D25330" w:rsidRDefault="00793D45" w:rsidP="00793D45">
      <w:pPr>
        <w:rPr>
          <w:rFonts w:ascii="Arial" w:hAnsi="Arial" w:cs="Arial"/>
          <w:b/>
          <w:i/>
          <w:szCs w:val="22"/>
        </w:rPr>
      </w:pPr>
      <w:r w:rsidRPr="00D25330">
        <w:rPr>
          <w:rFonts w:ascii="Arial" w:hAnsi="Arial" w:cs="Arial"/>
          <w:b/>
          <w:i/>
          <w:szCs w:val="22"/>
        </w:rPr>
        <w:t xml:space="preserve">On behalf of </w:t>
      </w:r>
    </w:p>
    <w:p w:rsidR="00BC1A7B" w:rsidRPr="00D25330" w:rsidRDefault="003153D1" w:rsidP="00856881">
      <w:pPr>
        <w:spacing w:line="276" w:lineRule="auto"/>
        <w:rPr>
          <w:rFonts w:ascii="Arial" w:hAnsi="Arial" w:cs="Arial"/>
          <w:b/>
          <w:i/>
          <w:color w:val="000000"/>
          <w:szCs w:val="22"/>
        </w:rPr>
      </w:pPr>
      <w:r w:rsidRPr="00D25330">
        <w:rPr>
          <w:rFonts w:ascii="Arial" w:hAnsi="Arial" w:cs="Arial"/>
          <w:b/>
          <w:i/>
          <w:color w:val="000000"/>
          <w:szCs w:val="22"/>
        </w:rPr>
        <w:t>NHS Sandwell and West Birmingham CCG</w:t>
      </w:r>
    </w:p>
    <w:p w:rsidR="00D75567" w:rsidRPr="000F40D0" w:rsidRDefault="00D75567" w:rsidP="00856881">
      <w:pPr>
        <w:spacing w:line="276" w:lineRule="auto"/>
        <w:rPr>
          <w:rFonts w:ascii="Arial" w:hAnsi="Arial" w:cs="Arial"/>
          <w:szCs w:val="22"/>
        </w:rPr>
      </w:pPr>
    </w:p>
    <w:sectPr w:rsidR="00D75567" w:rsidRPr="000F40D0" w:rsidSect="00254373">
      <w:headerReference w:type="default" r:id="rId11"/>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06" w:rsidRDefault="00D87C06" w:rsidP="00254373">
      <w:r>
        <w:separator/>
      </w:r>
    </w:p>
  </w:endnote>
  <w:endnote w:type="continuationSeparator" w:id="0">
    <w:p w:rsidR="00D87C06" w:rsidRDefault="00D87C06" w:rsidP="0025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06" w:rsidRDefault="00D87C06" w:rsidP="00254373">
      <w:r>
        <w:separator/>
      </w:r>
    </w:p>
  </w:footnote>
  <w:footnote w:type="continuationSeparator" w:id="0">
    <w:p w:rsidR="00D87C06" w:rsidRDefault="00D87C06" w:rsidP="0025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73" w:rsidRDefault="00254373" w:rsidP="00723F3F">
    <w:pPr>
      <w:pStyle w:val="Header"/>
      <w:tabs>
        <w:tab w:val="clear" w:pos="4513"/>
        <w:tab w:val="clear" w:pos="9026"/>
      </w:tabs>
      <w:jc w:val="right"/>
    </w:pPr>
    <w:r w:rsidRPr="002543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9BA"/>
    <w:multiLevelType w:val="hybridMultilevel"/>
    <w:tmpl w:val="F4F03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725435"/>
    <w:multiLevelType w:val="hybridMultilevel"/>
    <w:tmpl w:val="2910988E"/>
    <w:lvl w:ilvl="0" w:tplc="3AD8D8DC">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29D3C11"/>
    <w:multiLevelType w:val="hybridMultilevel"/>
    <w:tmpl w:val="3A288FE4"/>
    <w:lvl w:ilvl="0" w:tplc="41DC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ABD66ED"/>
    <w:multiLevelType w:val="hybridMultilevel"/>
    <w:tmpl w:val="5C92D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C0"/>
    <w:rsid w:val="000372EB"/>
    <w:rsid w:val="000468F7"/>
    <w:rsid w:val="000477F2"/>
    <w:rsid w:val="000F40D0"/>
    <w:rsid w:val="00107930"/>
    <w:rsid w:val="0013646F"/>
    <w:rsid w:val="001621D6"/>
    <w:rsid w:val="0024192A"/>
    <w:rsid w:val="00245EBB"/>
    <w:rsid w:val="00254373"/>
    <w:rsid w:val="0029291E"/>
    <w:rsid w:val="002C6D21"/>
    <w:rsid w:val="003148B8"/>
    <w:rsid w:val="003153D1"/>
    <w:rsid w:val="003210A3"/>
    <w:rsid w:val="003227E0"/>
    <w:rsid w:val="00352CDB"/>
    <w:rsid w:val="003C775B"/>
    <w:rsid w:val="003D3759"/>
    <w:rsid w:val="00441413"/>
    <w:rsid w:val="0046067B"/>
    <w:rsid w:val="004E5941"/>
    <w:rsid w:val="0050513C"/>
    <w:rsid w:val="00564051"/>
    <w:rsid w:val="005904AA"/>
    <w:rsid w:val="005B786B"/>
    <w:rsid w:val="005E18E1"/>
    <w:rsid w:val="006005C6"/>
    <w:rsid w:val="00633B8D"/>
    <w:rsid w:val="00694E24"/>
    <w:rsid w:val="006B214D"/>
    <w:rsid w:val="006B3E57"/>
    <w:rsid w:val="006D7C18"/>
    <w:rsid w:val="00717742"/>
    <w:rsid w:val="00723F3F"/>
    <w:rsid w:val="0074076D"/>
    <w:rsid w:val="00761CEC"/>
    <w:rsid w:val="00775323"/>
    <w:rsid w:val="00792EFA"/>
    <w:rsid w:val="00793D45"/>
    <w:rsid w:val="007B6BF0"/>
    <w:rsid w:val="007F585A"/>
    <w:rsid w:val="008468C8"/>
    <w:rsid w:val="00856881"/>
    <w:rsid w:val="008D23F7"/>
    <w:rsid w:val="008D4557"/>
    <w:rsid w:val="00907646"/>
    <w:rsid w:val="009A783B"/>
    <w:rsid w:val="009E7BDC"/>
    <w:rsid w:val="009F24DD"/>
    <w:rsid w:val="00A20E58"/>
    <w:rsid w:val="00A41DAC"/>
    <w:rsid w:val="00A84E82"/>
    <w:rsid w:val="00AC0D6C"/>
    <w:rsid w:val="00AF4857"/>
    <w:rsid w:val="00AF4BF3"/>
    <w:rsid w:val="00B03C07"/>
    <w:rsid w:val="00B0531A"/>
    <w:rsid w:val="00B06B34"/>
    <w:rsid w:val="00B606E2"/>
    <w:rsid w:val="00B67FC0"/>
    <w:rsid w:val="00BC1A7B"/>
    <w:rsid w:val="00BF6890"/>
    <w:rsid w:val="00C10B6C"/>
    <w:rsid w:val="00C61900"/>
    <w:rsid w:val="00C84878"/>
    <w:rsid w:val="00D25330"/>
    <w:rsid w:val="00D71449"/>
    <w:rsid w:val="00D75567"/>
    <w:rsid w:val="00D87C06"/>
    <w:rsid w:val="00D91618"/>
    <w:rsid w:val="00D9222E"/>
    <w:rsid w:val="00DC44EB"/>
    <w:rsid w:val="00DF165E"/>
    <w:rsid w:val="00E21692"/>
    <w:rsid w:val="00E41DC9"/>
    <w:rsid w:val="00E61D59"/>
    <w:rsid w:val="00E72FDE"/>
    <w:rsid w:val="00EC2734"/>
    <w:rsid w:val="00EF77B6"/>
    <w:rsid w:val="00F32805"/>
    <w:rsid w:val="00F73994"/>
    <w:rsid w:val="00F7669E"/>
    <w:rsid w:val="00FD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761CEC"/>
    <w:rPr>
      <w:rFonts w:cs="Tahoma"/>
      <w:sz w:val="16"/>
      <w:szCs w:val="16"/>
    </w:rPr>
  </w:style>
  <w:style w:type="character" w:customStyle="1" w:styleId="BalloonTextChar">
    <w:name w:val="Balloon Text Char"/>
    <w:basedOn w:val="DefaultParagraphFont"/>
    <w:link w:val="BalloonText"/>
    <w:uiPriority w:val="99"/>
    <w:semiHidden/>
    <w:rsid w:val="00761CEC"/>
    <w:rPr>
      <w:rFonts w:ascii="Tahoma" w:eastAsia="Times New Roman" w:hAnsi="Tahoma" w:cs="Tahoma"/>
      <w:sz w:val="16"/>
      <w:szCs w:val="16"/>
    </w:rPr>
  </w:style>
  <w:style w:type="character" w:styleId="Hyperlink">
    <w:name w:val="Hyperlink"/>
    <w:basedOn w:val="DefaultParagraphFont"/>
    <w:uiPriority w:val="99"/>
    <w:unhideWhenUsed/>
    <w:rsid w:val="003D3759"/>
    <w:rPr>
      <w:color w:val="0000FF"/>
      <w:u w:val="single"/>
    </w:rPr>
  </w:style>
  <w:style w:type="paragraph" w:styleId="PlainText">
    <w:name w:val="Plain Text"/>
    <w:basedOn w:val="Normal"/>
    <w:link w:val="PlainTextChar"/>
    <w:uiPriority w:val="99"/>
    <w:unhideWhenUsed/>
    <w:rsid w:val="007B6BF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6BF0"/>
    <w:rPr>
      <w:rFonts w:ascii="Calibri" w:hAnsi="Calibri"/>
      <w:szCs w:val="21"/>
    </w:rPr>
  </w:style>
  <w:style w:type="table" w:styleId="TableGrid">
    <w:name w:val="Table Grid"/>
    <w:basedOn w:val="TableNormal"/>
    <w:uiPriority w:val="59"/>
    <w:rsid w:val="00E4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D6"/>
    <w:pPr>
      <w:ind w:left="720"/>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761CEC"/>
    <w:rPr>
      <w:rFonts w:cs="Tahoma"/>
      <w:sz w:val="16"/>
      <w:szCs w:val="16"/>
    </w:rPr>
  </w:style>
  <w:style w:type="character" w:customStyle="1" w:styleId="BalloonTextChar">
    <w:name w:val="Balloon Text Char"/>
    <w:basedOn w:val="DefaultParagraphFont"/>
    <w:link w:val="BalloonText"/>
    <w:uiPriority w:val="99"/>
    <w:semiHidden/>
    <w:rsid w:val="00761CEC"/>
    <w:rPr>
      <w:rFonts w:ascii="Tahoma" w:eastAsia="Times New Roman" w:hAnsi="Tahoma" w:cs="Tahoma"/>
      <w:sz w:val="16"/>
      <w:szCs w:val="16"/>
    </w:rPr>
  </w:style>
  <w:style w:type="character" w:styleId="Hyperlink">
    <w:name w:val="Hyperlink"/>
    <w:basedOn w:val="DefaultParagraphFont"/>
    <w:uiPriority w:val="99"/>
    <w:unhideWhenUsed/>
    <w:rsid w:val="003D3759"/>
    <w:rPr>
      <w:color w:val="0000FF"/>
      <w:u w:val="single"/>
    </w:rPr>
  </w:style>
  <w:style w:type="paragraph" w:styleId="PlainText">
    <w:name w:val="Plain Text"/>
    <w:basedOn w:val="Normal"/>
    <w:link w:val="PlainTextChar"/>
    <w:uiPriority w:val="99"/>
    <w:unhideWhenUsed/>
    <w:rsid w:val="007B6BF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6BF0"/>
    <w:rPr>
      <w:rFonts w:ascii="Calibri" w:hAnsi="Calibri"/>
      <w:szCs w:val="21"/>
    </w:rPr>
  </w:style>
  <w:style w:type="table" w:styleId="TableGrid">
    <w:name w:val="Table Grid"/>
    <w:basedOn w:val="TableNormal"/>
    <w:uiPriority w:val="59"/>
    <w:rsid w:val="00E4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D6"/>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1000">
      <w:bodyDiv w:val="1"/>
      <w:marLeft w:val="0"/>
      <w:marRight w:val="0"/>
      <w:marTop w:val="0"/>
      <w:marBottom w:val="0"/>
      <w:divBdr>
        <w:top w:val="none" w:sz="0" w:space="0" w:color="auto"/>
        <w:left w:val="none" w:sz="0" w:space="0" w:color="auto"/>
        <w:bottom w:val="none" w:sz="0" w:space="0" w:color="auto"/>
        <w:right w:val="none" w:sz="0" w:space="0" w:color="auto"/>
      </w:divBdr>
    </w:div>
    <w:div w:id="308367156">
      <w:bodyDiv w:val="1"/>
      <w:marLeft w:val="0"/>
      <w:marRight w:val="0"/>
      <w:marTop w:val="0"/>
      <w:marBottom w:val="0"/>
      <w:divBdr>
        <w:top w:val="none" w:sz="0" w:space="0" w:color="auto"/>
        <w:left w:val="none" w:sz="0" w:space="0" w:color="auto"/>
        <w:bottom w:val="none" w:sz="0" w:space="0" w:color="auto"/>
        <w:right w:val="none" w:sz="0" w:space="0" w:color="auto"/>
      </w:divBdr>
    </w:div>
    <w:div w:id="373700505">
      <w:bodyDiv w:val="1"/>
      <w:marLeft w:val="0"/>
      <w:marRight w:val="0"/>
      <w:marTop w:val="0"/>
      <w:marBottom w:val="0"/>
      <w:divBdr>
        <w:top w:val="none" w:sz="0" w:space="0" w:color="auto"/>
        <w:left w:val="none" w:sz="0" w:space="0" w:color="auto"/>
        <w:bottom w:val="none" w:sz="0" w:space="0" w:color="auto"/>
        <w:right w:val="none" w:sz="0" w:space="0" w:color="auto"/>
      </w:divBdr>
    </w:div>
    <w:div w:id="401945971">
      <w:bodyDiv w:val="1"/>
      <w:marLeft w:val="0"/>
      <w:marRight w:val="0"/>
      <w:marTop w:val="0"/>
      <w:marBottom w:val="0"/>
      <w:divBdr>
        <w:top w:val="none" w:sz="0" w:space="0" w:color="auto"/>
        <w:left w:val="none" w:sz="0" w:space="0" w:color="auto"/>
        <w:bottom w:val="none" w:sz="0" w:space="0" w:color="auto"/>
        <w:right w:val="none" w:sz="0" w:space="0" w:color="auto"/>
      </w:divBdr>
    </w:div>
    <w:div w:id="539515215">
      <w:bodyDiv w:val="1"/>
      <w:marLeft w:val="0"/>
      <w:marRight w:val="0"/>
      <w:marTop w:val="0"/>
      <w:marBottom w:val="0"/>
      <w:divBdr>
        <w:top w:val="none" w:sz="0" w:space="0" w:color="auto"/>
        <w:left w:val="none" w:sz="0" w:space="0" w:color="auto"/>
        <w:bottom w:val="none" w:sz="0" w:space="0" w:color="auto"/>
        <w:right w:val="none" w:sz="0" w:space="0" w:color="auto"/>
      </w:divBdr>
    </w:div>
    <w:div w:id="596913919">
      <w:bodyDiv w:val="1"/>
      <w:marLeft w:val="0"/>
      <w:marRight w:val="0"/>
      <w:marTop w:val="0"/>
      <w:marBottom w:val="0"/>
      <w:divBdr>
        <w:top w:val="none" w:sz="0" w:space="0" w:color="auto"/>
        <w:left w:val="none" w:sz="0" w:space="0" w:color="auto"/>
        <w:bottom w:val="none" w:sz="0" w:space="0" w:color="auto"/>
        <w:right w:val="none" w:sz="0" w:space="0" w:color="auto"/>
      </w:divBdr>
    </w:div>
    <w:div w:id="636184837">
      <w:bodyDiv w:val="1"/>
      <w:marLeft w:val="0"/>
      <w:marRight w:val="0"/>
      <w:marTop w:val="0"/>
      <w:marBottom w:val="0"/>
      <w:divBdr>
        <w:top w:val="none" w:sz="0" w:space="0" w:color="auto"/>
        <w:left w:val="none" w:sz="0" w:space="0" w:color="auto"/>
        <w:bottom w:val="none" w:sz="0" w:space="0" w:color="auto"/>
        <w:right w:val="none" w:sz="0" w:space="0" w:color="auto"/>
      </w:divBdr>
    </w:div>
    <w:div w:id="775754707">
      <w:bodyDiv w:val="1"/>
      <w:marLeft w:val="0"/>
      <w:marRight w:val="0"/>
      <w:marTop w:val="0"/>
      <w:marBottom w:val="0"/>
      <w:divBdr>
        <w:top w:val="none" w:sz="0" w:space="0" w:color="auto"/>
        <w:left w:val="none" w:sz="0" w:space="0" w:color="auto"/>
        <w:bottom w:val="none" w:sz="0" w:space="0" w:color="auto"/>
        <w:right w:val="none" w:sz="0" w:space="0" w:color="auto"/>
      </w:divBdr>
    </w:div>
    <w:div w:id="844591935">
      <w:bodyDiv w:val="1"/>
      <w:marLeft w:val="0"/>
      <w:marRight w:val="0"/>
      <w:marTop w:val="0"/>
      <w:marBottom w:val="0"/>
      <w:divBdr>
        <w:top w:val="none" w:sz="0" w:space="0" w:color="auto"/>
        <w:left w:val="none" w:sz="0" w:space="0" w:color="auto"/>
        <w:bottom w:val="none" w:sz="0" w:space="0" w:color="auto"/>
        <w:right w:val="none" w:sz="0" w:space="0" w:color="auto"/>
      </w:divBdr>
    </w:div>
    <w:div w:id="849023501">
      <w:bodyDiv w:val="1"/>
      <w:marLeft w:val="0"/>
      <w:marRight w:val="0"/>
      <w:marTop w:val="0"/>
      <w:marBottom w:val="0"/>
      <w:divBdr>
        <w:top w:val="none" w:sz="0" w:space="0" w:color="auto"/>
        <w:left w:val="none" w:sz="0" w:space="0" w:color="auto"/>
        <w:bottom w:val="none" w:sz="0" w:space="0" w:color="auto"/>
        <w:right w:val="none" w:sz="0" w:space="0" w:color="auto"/>
      </w:divBdr>
    </w:div>
    <w:div w:id="882787708">
      <w:bodyDiv w:val="1"/>
      <w:marLeft w:val="0"/>
      <w:marRight w:val="0"/>
      <w:marTop w:val="0"/>
      <w:marBottom w:val="0"/>
      <w:divBdr>
        <w:top w:val="none" w:sz="0" w:space="0" w:color="auto"/>
        <w:left w:val="none" w:sz="0" w:space="0" w:color="auto"/>
        <w:bottom w:val="none" w:sz="0" w:space="0" w:color="auto"/>
        <w:right w:val="none" w:sz="0" w:space="0" w:color="auto"/>
      </w:divBdr>
    </w:div>
    <w:div w:id="1058287650">
      <w:bodyDiv w:val="1"/>
      <w:marLeft w:val="0"/>
      <w:marRight w:val="0"/>
      <w:marTop w:val="0"/>
      <w:marBottom w:val="0"/>
      <w:divBdr>
        <w:top w:val="none" w:sz="0" w:space="0" w:color="auto"/>
        <w:left w:val="none" w:sz="0" w:space="0" w:color="auto"/>
        <w:bottom w:val="none" w:sz="0" w:space="0" w:color="auto"/>
        <w:right w:val="none" w:sz="0" w:space="0" w:color="auto"/>
      </w:divBdr>
    </w:div>
    <w:div w:id="1175462775">
      <w:bodyDiv w:val="1"/>
      <w:marLeft w:val="0"/>
      <w:marRight w:val="0"/>
      <w:marTop w:val="0"/>
      <w:marBottom w:val="0"/>
      <w:divBdr>
        <w:top w:val="none" w:sz="0" w:space="0" w:color="auto"/>
        <w:left w:val="none" w:sz="0" w:space="0" w:color="auto"/>
        <w:bottom w:val="none" w:sz="0" w:space="0" w:color="auto"/>
        <w:right w:val="none" w:sz="0" w:space="0" w:color="auto"/>
      </w:divBdr>
    </w:div>
    <w:div w:id="1224565781">
      <w:bodyDiv w:val="1"/>
      <w:marLeft w:val="0"/>
      <w:marRight w:val="0"/>
      <w:marTop w:val="0"/>
      <w:marBottom w:val="0"/>
      <w:divBdr>
        <w:top w:val="none" w:sz="0" w:space="0" w:color="auto"/>
        <w:left w:val="none" w:sz="0" w:space="0" w:color="auto"/>
        <w:bottom w:val="none" w:sz="0" w:space="0" w:color="auto"/>
        <w:right w:val="none" w:sz="0" w:space="0" w:color="auto"/>
      </w:divBdr>
    </w:div>
    <w:div w:id="1718120331">
      <w:bodyDiv w:val="1"/>
      <w:marLeft w:val="0"/>
      <w:marRight w:val="0"/>
      <w:marTop w:val="0"/>
      <w:marBottom w:val="0"/>
      <w:divBdr>
        <w:top w:val="none" w:sz="0" w:space="0" w:color="auto"/>
        <w:left w:val="none" w:sz="0" w:space="0" w:color="auto"/>
        <w:bottom w:val="none" w:sz="0" w:space="0" w:color="auto"/>
        <w:right w:val="none" w:sz="0" w:space="0" w:color="auto"/>
      </w:divBdr>
    </w:div>
    <w:div w:id="1768967805">
      <w:bodyDiv w:val="1"/>
      <w:marLeft w:val="0"/>
      <w:marRight w:val="0"/>
      <w:marTop w:val="0"/>
      <w:marBottom w:val="0"/>
      <w:divBdr>
        <w:top w:val="none" w:sz="0" w:space="0" w:color="auto"/>
        <w:left w:val="none" w:sz="0" w:space="0" w:color="auto"/>
        <w:bottom w:val="none" w:sz="0" w:space="0" w:color="auto"/>
        <w:right w:val="none" w:sz="0" w:space="0" w:color="auto"/>
      </w:divBdr>
    </w:div>
    <w:div w:id="1837382568">
      <w:bodyDiv w:val="1"/>
      <w:marLeft w:val="0"/>
      <w:marRight w:val="0"/>
      <w:marTop w:val="0"/>
      <w:marBottom w:val="0"/>
      <w:divBdr>
        <w:top w:val="none" w:sz="0" w:space="0" w:color="auto"/>
        <w:left w:val="none" w:sz="0" w:space="0" w:color="auto"/>
        <w:bottom w:val="none" w:sz="0" w:space="0" w:color="auto"/>
        <w:right w:val="none" w:sz="0" w:space="0" w:color="auto"/>
      </w:divBdr>
    </w:div>
    <w:div w:id="19369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tionalarchives.gov.uk/doc/open-government-licence/version/2/" TargetMode="External"/><Relationship Id="rId4" Type="http://schemas.openxmlformats.org/officeDocument/2006/relationships/settings" Target="settings.xml"/><Relationship Id="rId9" Type="http://schemas.openxmlformats.org/officeDocument/2006/relationships/hyperlink" Target="mailto:FOI.birminghamccgs@ardengemcsu.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O'Mahony (LPCT)</dc:creator>
  <cp:lastModifiedBy>Parker Lindsay (0AK) GEM CSU</cp:lastModifiedBy>
  <cp:revision>2</cp:revision>
  <dcterms:created xsi:type="dcterms:W3CDTF">2016-04-13T14:38:00Z</dcterms:created>
  <dcterms:modified xsi:type="dcterms:W3CDTF">2016-04-13T14:38:00Z</dcterms:modified>
</cp:coreProperties>
</file>