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F0" w:rsidRPr="00B412F6" w:rsidRDefault="00B412F6" w:rsidP="00B412F6">
      <w:pPr>
        <w:jc w:val="center"/>
        <w:rPr>
          <w:b/>
          <w:sz w:val="28"/>
          <w:szCs w:val="28"/>
        </w:rPr>
      </w:pPr>
      <w:r w:rsidRPr="00B412F6">
        <w:rPr>
          <w:b/>
          <w:sz w:val="28"/>
          <w:szCs w:val="28"/>
        </w:rPr>
        <w:t>Greater Thetford Development Board</w:t>
      </w:r>
    </w:p>
    <w:p w:rsidR="005F76B9" w:rsidRDefault="005F76B9" w:rsidP="00B41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Inward Investment Sub Group</w:t>
      </w:r>
    </w:p>
    <w:p w:rsidR="00B412F6" w:rsidRPr="00B412F6" w:rsidRDefault="005F76B9" w:rsidP="00B41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 OF REFERENCE</w:t>
      </w:r>
    </w:p>
    <w:p w:rsidR="00B412F6" w:rsidRDefault="00B412F6"/>
    <w:p w:rsidR="00B412F6" w:rsidRPr="00B412F6" w:rsidRDefault="00B412F6" w:rsidP="00D63BFF">
      <w:pPr>
        <w:spacing w:after="120"/>
        <w:rPr>
          <w:b/>
        </w:rPr>
      </w:pPr>
      <w:r w:rsidRPr="00B412F6">
        <w:rPr>
          <w:b/>
        </w:rPr>
        <w:t>The role of the Group</w:t>
      </w:r>
    </w:p>
    <w:p w:rsidR="00B412F6" w:rsidRDefault="00911F97">
      <w:r>
        <w:t xml:space="preserve">Through research and consultation with key stakeholders, </w:t>
      </w:r>
      <w:r w:rsidR="00D63BFF">
        <w:t>develop proposals</w:t>
      </w:r>
      <w:r w:rsidR="00C132E5">
        <w:t>, funding streams</w:t>
      </w:r>
      <w:r w:rsidR="00D63BFF">
        <w:t xml:space="preserve"> </w:t>
      </w:r>
      <w:r w:rsidR="001F5E8B">
        <w:t xml:space="preserve">and provide oversight of projects </w:t>
      </w:r>
      <w:r w:rsidR="00D63BFF">
        <w:t>which will contri</w:t>
      </w:r>
      <w:r>
        <w:t>bute to the vibrancy, attractiveness and economic development</w:t>
      </w:r>
      <w:r w:rsidR="00450EAF">
        <w:t xml:space="preserve"> of the Greater Thetford area</w:t>
      </w:r>
      <w:r w:rsidR="00421BF4">
        <w:t>:</w:t>
      </w:r>
      <w:r w:rsidR="00450EAF">
        <w:t xml:space="preserve"> with a particular focus on creating high quality em</w:t>
      </w:r>
      <w:r w:rsidR="001F5E8B">
        <w:t>ployment through attracting and retaining inward</w:t>
      </w:r>
      <w:r w:rsidR="00450EAF">
        <w:t xml:space="preserve"> investment and growth capable businesses.</w:t>
      </w:r>
    </w:p>
    <w:p w:rsidR="00B412F6" w:rsidRPr="00B412F6" w:rsidRDefault="008C5A1E" w:rsidP="00B412F6">
      <w:pPr>
        <w:spacing w:after="120"/>
        <w:rPr>
          <w:b/>
        </w:rPr>
      </w:pPr>
      <w:r>
        <w:rPr>
          <w:b/>
        </w:rPr>
        <w:t xml:space="preserve">Proposed </w:t>
      </w:r>
      <w:r w:rsidR="00D71DAF">
        <w:rPr>
          <w:b/>
        </w:rPr>
        <w:t xml:space="preserve">Initial </w:t>
      </w:r>
      <w:r w:rsidR="00B412F6" w:rsidRPr="00B412F6">
        <w:rPr>
          <w:b/>
        </w:rPr>
        <w:t>Membership</w:t>
      </w:r>
    </w:p>
    <w:p w:rsidR="00B412F6" w:rsidRDefault="00C07DAA" w:rsidP="007251B3">
      <w:pPr>
        <w:spacing w:after="100"/>
      </w:pPr>
      <w:r>
        <w:t>Steve Collins, Homes</w:t>
      </w:r>
      <w:r w:rsidR="00B412F6">
        <w:t xml:space="preserve"> and Community Agency</w:t>
      </w:r>
    </w:p>
    <w:p w:rsidR="00B412F6" w:rsidRDefault="00C07DAA" w:rsidP="007251B3">
      <w:pPr>
        <w:spacing w:after="100"/>
      </w:pPr>
      <w:r>
        <w:t xml:space="preserve">Ian </w:t>
      </w:r>
      <w:proofErr w:type="spellStart"/>
      <w:r>
        <w:t>Dunnett</w:t>
      </w:r>
      <w:proofErr w:type="spellEnd"/>
      <w:r>
        <w:t>, Local</w:t>
      </w:r>
      <w:r w:rsidR="00B412F6">
        <w:t xml:space="preserve"> Enterprise Partnership</w:t>
      </w:r>
    </w:p>
    <w:p w:rsidR="00B412F6" w:rsidRDefault="00B412F6" w:rsidP="007251B3">
      <w:pPr>
        <w:spacing w:after="100"/>
      </w:pPr>
      <w:proofErr w:type="spellStart"/>
      <w:r>
        <w:t>Tig</w:t>
      </w:r>
      <w:proofErr w:type="spellEnd"/>
      <w:r>
        <w:t xml:space="preserve"> Armstrong, Norfolk County Council</w:t>
      </w:r>
    </w:p>
    <w:p w:rsidR="00B412F6" w:rsidRDefault="00B412F6" w:rsidP="007251B3">
      <w:pPr>
        <w:spacing w:after="100"/>
      </w:pPr>
      <w:r>
        <w:t>Robert Campbell, Breckland District Council</w:t>
      </w:r>
    </w:p>
    <w:p w:rsidR="00B412F6" w:rsidRDefault="00B412F6" w:rsidP="007251B3">
      <w:pPr>
        <w:spacing w:after="100"/>
      </w:pPr>
      <w:r>
        <w:t xml:space="preserve">Steve </w:t>
      </w:r>
      <w:proofErr w:type="spellStart"/>
      <w:r>
        <w:t>Melligan</w:t>
      </w:r>
      <w:proofErr w:type="spellEnd"/>
      <w:r>
        <w:t>, Crown Estate</w:t>
      </w:r>
    </w:p>
    <w:p w:rsidR="00D71B8D" w:rsidRPr="008C5A1E" w:rsidRDefault="008C5A1E" w:rsidP="007251B3">
      <w:pPr>
        <w:spacing w:after="100"/>
      </w:pPr>
      <w:r w:rsidRPr="008C5A1E">
        <w:t>Representative from the Land Group tbc</w:t>
      </w:r>
    </w:p>
    <w:p w:rsidR="008C5A1E" w:rsidRPr="008C5A1E" w:rsidRDefault="008C5A1E" w:rsidP="008C5A1E">
      <w:r w:rsidRPr="008C5A1E">
        <w:t>Representative from the</w:t>
      </w:r>
      <w:r w:rsidRPr="008C5A1E">
        <w:t xml:space="preserve"> Public Health Service</w:t>
      </w:r>
      <w:r w:rsidRPr="008C5A1E">
        <w:t xml:space="preserve"> tbc</w:t>
      </w:r>
    </w:p>
    <w:p w:rsidR="00B412F6" w:rsidRPr="00B412F6" w:rsidRDefault="00B412F6" w:rsidP="007251B3">
      <w:pPr>
        <w:spacing w:after="120"/>
        <w:rPr>
          <w:b/>
        </w:rPr>
      </w:pPr>
      <w:r w:rsidRPr="00B412F6">
        <w:rPr>
          <w:b/>
        </w:rPr>
        <w:t>Responsibilities</w:t>
      </w:r>
    </w:p>
    <w:p w:rsidR="00B412F6" w:rsidRDefault="002A3637" w:rsidP="002331D6">
      <w:pPr>
        <w:spacing w:after="120"/>
      </w:pPr>
      <w:r>
        <w:t xml:space="preserve">Report back to the main board via the sub group chair </w:t>
      </w:r>
      <w:proofErr w:type="gramStart"/>
      <w:r>
        <w:t>who</w:t>
      </w:r>
      <w:proofErr w:type="gramEnd"/>
      <w:r>
        <w:t xml:space="preserve"> will have a seat on the main board.</w:t>
      </w:r>
    </w:p>
    <w:p w:rsidR="003519F9" w:rsidRDefault="003519F9">
      <w:r>
        <w:t>The chair will be selected by the main board on an annual basis.</w:t>
      </w:r>
    </w:p>
    <w:p w:rsidR="00B412F6" w:rsidRDefault="00B412F6" w:rsidP="007251B3">
      <w:pPr>
        <w:spacing w:after="120"/>
        <w:rPr>
          <w:b/>
        </w:rPr>
      </w:pPr>
      <w:r w:rsidRPr="00B412F6">
        <w:rPr>
          <w:b/>
        </w:rPr>
        <w:t>Ways of working</w:t>
      </w:r>
    </w:p>
    <w:p w:rsidR="0098380A" w:rsidRDefault="00F51BD5" w:rsidP="007251B3">
      <w:pPr>
        <w:spacing w:after="120"/>
      </w:pPr>
      <w:r>
        <w:t>Through understanding local community needs, e</w:t>
      </w:r>
      <w:r w:rsidR="0098380A">
        <w:t xml:space="preserve">xplore potential sources of funding to unlock </w:t>
      </w:r>
      <w:r>
        <w:t xml:space="preserve">appropriate </w:t>
      </w:r>
      <w:r w:rsidR="0098380A">
        <w:t xml:space="preserve">commercial development </w:t>
      </w:r>
      <w:proofErr w:type="gramStart"/>
      <w:r w:rsidR="0098380A">
        <w:t>opportunities,</w:t>
      </w:r>
      <w:proofErr w:type="gramEnd"/>
      <w:r w:rsidR="0098380A">
        <w:t xml:space="preserve"> including </w:t>
      </w:r>
      <w:r w:rsidR="002251BA">
        <w:t xml:space="preserve">funding </w:t>
      </w:r>
      <w:r w:rsidR="0098380A">
        <w:t>from the LEPs, future combined authorities, direct government sources.  Work to become a partner of choice for investors.</w:t>
      </w:r>
    </w:p>
    <w:p w:rsidR="00CB7269" w:rsidRDefault="00FF4A61" w:rsidP="007251B3">
      <w:pPr>
        <w:spacing w:after="120"/>
      </w:pPr>
      <w:r>
        <w:t>Study and debate how existing de</w:t>
      </w:r>
      <w:r w:rsidR="002251BA">
        <w:t>velopment plan</w:t>
      </w:r>
      <w:r w:rsidR="0098380A">
        <w:t>s</w:t>
      </w:r>
      <w:r>
        <w:t xml:space="preserve"> can best be utilised to bring forward meaning</w:t>
      </w:r>
      <w:r w:rsidR="003519F9">
        <w:t xml:space="preserve">ful </w:t>
      </w:r>
      <w:r>
        <w:t>economic develo</w:t>
      </w:r>
      <w:r w:rsidR="0098380A">
        <w:t>pment to the area, including</w:t>
      </w:r>
      <w:r>
        <w:t>;</w:t>
      </w:r>
    </w:p>
    <w:p w:rsidR="0098380A" w:rsidRDefault="0098380A" w:rsidP="00FF4A61">
      <w:pPr>
        <w:pStyle w:val="ListParagraph"/>
        <w:numPr>
          <w:ilvl w:val="0"/>
          <w:numId w:val="1"/>
        </w:numPr>
        <w:spacing w:after="120"/>
      </w:pPr>
      <w:r>
        <w:t>National Policies</w:t>
      </w:r>
    </w:p>
    <w:p w:rsidR="0098380A" w:rsidRDefault="0098380A" w:rsidP="00FF4A61">
      <w:pPr>
        <w:pStyle w:val="ListParagraph"/>
        <w:numPr>
          <w:ilvl w:val="0"/>
          <w:numId w:val="1"/>
        </w:numPr>
        <w:spacing w:after="120"/>
      </w:pPr>
      <w:r>
        <w:t>New Anglia LEP Strategic Economic Plan</w:t>
      </w:r>
    </w:p>
    <w:p w:rsidR="0051374F" w:rsidRDefault="0051374F" w:rsidP="00FF4A61">
      <w:pPr>
        <w:pStyle w:val="ListParagraph"/>
        <w:numPr>
          <w:ilvl w:val="0"/>
          <w:numId w:val="1"/>
        </w:numPr>
        <w:spacing w:after="120"/>
      </w:pPr>
      <w:r>
        <w:t>Re-imagining Norfolk</w:t>
      </w:r>
    </w:p>
    <w:p w:rsidR="0098380A" w:rsidRDefault="0098380A" w:rsidP="00FF4A61">
      <w:pPr>
        <w:pStyle w:val="ListParagraph"/>
        <w:numPr>
          <w:ilvl w:val="0"/>
          <w:numId w:val="1"/>
        </w:numPr>
        <w:spacing w:after="120"/>
      </w:pPr>
      <w:r>
        <w:t>Local District Plan</w:t>
      </w:r>
    </w:p>
    <w:p w:rsidR="00FF4A61" w:rsidRDefault="0098380A" w:rsidP="00FF4A61">
      <w:pPr>
        <w:pStyle w:val="ListParagraph"/>
        <w:numPr>
          <w:ilvl w:val="0"/>
          <w:numId w:val="1"/>
        </w:numPr>
        <w:spacing w:after="120"/>
      </w:pPr>
      <w:r>
        <w:t>Local Neighbourhood and Town Centre Plans</w:t>
      </w:r>
    </w:p>
    <w:p w:rsidR="00FF4A61" w:rsidRDefault="00FF4A61" w:rsidP="00FF4A61">
      <w:pPr>
        <w:pStyle w:val="ListParagraph"/>
        <w:numPr>
          <w:ilvl w:val="0"/>
          <w:numId w:val="1"/>
        </w:numPr>
        <w:spacing w:after="120"/>
      </w:pPr>
      <w:r>
        <w:t>The A11 Corridor Study</w:t>
      </w:r>
    </w:p>
    <w:p w:rsidR="003519F9" w:rsidRDefault="003519F9" w:rsidP="00FF4A61">
      <w:pPr>
        <w:pStyle w:val="ListParagraph"/>
        <w:numPr>
          <w:ilvl w:val="0"/>
          <w:numId w:val="1"/>
        </w:numPr>
        <w:spacing w:after="120"/>
      </w:pPr>
      <w:r>
        <w:t>Thetford Enterprise Park</w:t>
      </w:r>
    </w:p>
    <w:p w:rsidR="003519F9" w:rsidRDefault="003519F9" w:rsidP="00FF4A61">
      <w:pPr>
        <w:pStyle w:val="ListParagraph"/>
        <w:numPr>
          <w:ilvl w:val="0"/>
          <w:numId w:val="1"/>
        </w:numPr>
        <w:spacing w:after="120"/>
      </w:pPr>
      <w:r>
        <w:t>Thetford Sustainable Urban Extension</w:t>
      </w:r>
    </w:p>
    <w:p w:rsidR="00FF4A61" w:rsidRDefault="00FF4A61" w:rsidP="00FF4A61">
      <w:pPr>
        <w:spacing w:after="120"/>
      </w:pPr>
      <w:r>
        <w:lastRenderedPageBreak/>
        <w:t xml:space="preserve">Where necessary, commission specific pieces of additional consultancy </w:t>
      </w:r>
      <w:r w:rsidR="003519F9">
        <w:t>to enable additional</w:t>
      </w:r>
      <w:r>
        <w:t xml:space="preserve"> costed project proposals to be created.</w:t>
      </w:r>
    </w:p>
    <w:p w:rsidR="00FF4A61" w:rsidRDefault="00436834" w:rsidP="00FF4A61">
      <w:pPr>
        <w:spacing w:after="120"/>
      </w:pPr>
      <w:r>
        <w:t>Make recommendations to the main board with regard to local economic development priorities.</w:t>
      </w:r>
    </w:p>
    <w:p w:rsidR="00C132E5" w:rsidRDefault="00C132E5" w:rsidP="00C132E5">
      <w:pPr>
        <w:spacing w:after="120"/>
      </w:pPr>
      <w:r>
        <w:t>Review the available economic data on a regular basis to understand how the local Thetford economy is performing in comparison to the overall district, regional and national picture.</w:t>
      </w:r>
    </w:p>
    <w:p w:rsidR="00436834" w:rsidRDefault="00436834" w:rsidP="00FF4A61">
      <w:pPr>
        <w:spacing w:after="120"/>
      </w:pPr>
      <w:proofErr w:type="gramStart"/>
      <w:r>
        <w:t xml:space="preserve">To </w:t>
      </w:r>
      <w:r w:rsidR="002251BA">
        <w:t>provide oversight of the potential</w:t>
      </w:r>
      <w:r>
        <w:t xml:space="preserve"> and actual economic impact of major </w:t>
      </w:r>
      <w:r w:rsidR="00421BF4">
        <w:t xml:space="preserve">local </w:t>
      </w:r>
      <w:r>
        <w:t>de</w:t>
      </w:r>
      <w:r w:rsidR="00421BF4">
        <w:t>velopment projects</w:t>
      </w:r>
      <w:r>
        <w:t>.</w:t>
      </w:r>
      <w:proofErr w:type="gramEnd"/>
    </w:p>
    <w:p w:rsidR="00C132E5" w:rsidRDefault="00D8235A" w:rsidP="002331D6">
      <w:r>
        <w:t>To ensure that other initiatives which impact on Town Centres and the Visitor Economy</w:t>
      </w:r>
      <w:r w:rsidR="00436834">
        <w:t xml:space="preserve"> </w:t>
      </w:r>
      <w:r>
        <w:t>reflect</w:t>
      </w:r>
      <w:r w:rsidR="00421BF4">
        <w:t xml:space="preserve"> the economic development priorities agreed within the GTDP.</w:t>
      </w:r>
    </w:p>
    <w:p w:rsidR="003B7D3E" w:rsidRDefault="002331D6" w:rsidP="001F1070">
      <w:pPr>
        <w:spacing w:after="120"/>
        <w:rPr>
          <w:b/>
        </w:rPr>
      </w:pPr>
      <w:r>
        <w:rPr>
          <w:b/>
        </w:rPr>
        <w:t>Internal and external communication</w:t>
      </w:r>
    </w:p>
    <w:p w:rsidR="003B7D3E" w:rsidRDefault="003B7D3E" w:rsidP="001F1070">
      <w:pPr>
        <w:spacing w:after="120"/>
      </w:pPr>
      <w:r>
        <w:t>The Inward Investment Sub Group will coordin</w:t>
      </w:r>
      <w:r w:rsidR="004A3557">
        <w:t xml:space="preserve">ate its work with the other </w:t>
      </w:r>
      <w:r>
        <w:t xml:space="preserve">sub groups, ‘Community’ and </w:t>
      </w:r>
      <w:r w:rsidR="002251BA">
        <w:t>‘</w:t>
      </w:r>
      <w:r>
        <w:t>Planning and Projects’ by;</w:t>
      </w:r>
    </w:p>
    <w:p w:rsidR="002331D6" w:rsidRDefault="002331D6" w:rsidP="003B7D3E">
      <w:pPr>
        <w:pStyle w:val="ListParagraph"/>
        <w:numPr>
          <w:ilvl w:val="0"/>
          <w:numId w:val="1"/>
        </w:numPr>
        <w:spacing w:after="120"/>
      </w:pPr>
      <w:r>
        <w:t>Consulting with the Community sub group</w:t>
      </w:r>
      <w:r w:rsidR="00F51BD5">
        <w:t xml:space="preserve"> about community needs and desired social outcomes which can shape and prioritise </w:t>
      </w:r>
      <w:r w:rsidR="004A3557">
        <w:t>economic devel</w:t>
      </w:r>
      <w:r w:rsidR="00F51BD5">
        <w:t>opment projects.</w:t>
      </w:r>
    </w:p>
    <w:p w:rsidR="004A3557" w:rsidRDefault="004A3557" w:rsidP="003B7D3E">
      <w:pPr>
        <w:pStyle w:val="ListParagraph"/>
        <w:numPr>
          <w:ilvl w:val="0"/>
          <w:numId w:val="1"/>
        </w:numPr>
        <w:spacing w:after="120"/>
      </w:pPr>
      <w:r>
        <w:t>Consulting with the Planning and Projects sub group about potential barriers and deliverability of economic development projects being scoped by the Inward Investment sub group.</w:t>
      </w:r>
    </w:p>
    <w:p w:rsidR="003B7D3E" w:rsidRDefault="003B7D3E" w:rsidP="003B7D3E">
      <w:pPr>
        <w:pStyle w:val="ListParagraph"/>
        <w:numPr>
          <w:ilvl w:val="0"/>
          <w:numId w:val="1"/>
        </w:numPr>
        <w:spacing w:after="120"/>
      </w:pPr>
      <w:r>
        <w:t>Agreeing a common protocol and frequency for reporting back to the main board</w:t>
      </w:r>
      <w:r w:rsidR="004A3557">
        <w:t>.</w:t>
      </w:r>
    </w:p>
    <w:p w:rsidR="002331D6" w:rsidRDefault="002331D6" w:rsidP="003B7D3E">
      <w:pPr>
        <w:pStyle w:val="ListParagraph"/>
        <w:numPr>
          <w:ilvl w:val="0"/>
          <w:numId w:val="1"/>
        </w:numPr>
        <w:spacing w:after="120"/>
      </w:pPr>
      <w:r>
        <w:t>Coordinating on major reports and proposals to the main board</w:t>
      </w:r>
      <w:r w:rsidR="004A3557">
        <w:t>.</w:t>
      </w:r>
    </w:p>
    <w:p w:rsidR="003B7D3E" w:rsidRPr="003B7D3E" w:rsidRDefault="002331D6" w:rsidP="002331D6">
      <w:r>
        <w:t>All external communications from the sub group shall be routed exclusively via the main board for approval and onward distribution.</w:t>
      </w:r>
    </w:p>
    <w:p w:rsidR="00B412F6" w:rsidRPr="00C132E5" w:rsidRDefault="00CB7269" w:rsidP="001F1070">
      <w:pPr>
        <w:spacing w:after="120"/>
      </w:pPr>
      <w:r w:rsidRPr="00CB7269">
        <w:rPr>
          <w:b/>
        </w:rPr>
        <w:t>Meetings</w:t>
      </w:r>
    </w:p>
    <w:p w:rsidR="00CB7269" w:rsidRDefault="001F1070" w:rsidP="003519F9">
      <w:pPr>
        <w:spacing w:after="120"/>
      </w:pPr>
      <w:r>
        <w:t>Quarterly, midway between the main board meeting dates.</w:t>
      </w:r>
    </w:p>
    <w:p w:rsidR="00252826" w:rsidRDefault="00900C88" w:rsidP="003519F9">
      <w:pPr>
        <w:spacing w:after="120"/>
      </w:pPr>
      <w:r>
        <w:t xml:space="preserve">Due to the commercial sensitivity of much of the discussions, </w:t>
      </w:r>
      <w:r w:rsidR="00252826">
        <w:t xml:space="preserve">meetings </w:t>
      </w:r>
      <w:r>
        <w:t>will be private and</w:t>
      </w:r>
      <w:r w:rsidR="00252826">
        <w:t xml:space="preserve"> </w:t>
      </w:r>
      <w:proofErr w:type="spellStart"/>
      <w:r w:rsidR="00252826">
        <w:t>minuted</w:t>
      </w:r>
      <w:proofErr w:type="spellEnd"/>
      <w:r w:rsidR="00252826">
        <w:t xml:space="preserve"> for the sole use of</w:t>
      </w:r>
      <w:r w:rsidR="003519F9">
        <w:t xml:space="preserve"> the sub group members and the main board.  </w:t>
      </w:r>
      <w:r>
        <w:t>Extracts from m</w:t>
      </w:r>
      <w:r w:rsidR="00677747">
        <w:t xml:space="preserve">inutes will not be made available to members of the </w:t>
      </w:r>
      <w:bookmarkStart w:id="0" w:name="_GoBack"/>
      <w:bookmarkEnd w:id="0"/>
      <w:r w:rsidR="00677747">
        <w:t>public unless so agreed by the main board.</w:t>
      </w:r>
    </w:p>
    <w:p w:rsidR="00252826" w:rsidRDefault="00252826" w:rsidP="003519F9">
      <w:pPr>
        <w:spacing w:after="120"/>
      </w:pPr>
      <w:r>
        <w:t>Breckland Council will provide the secretariat for the meetings.</w:t>
      </w:r>
    </w:p>
    <w:p w:rsidR="00252826" w:rsidRDefault="002251BA">
      <w:proofErr w:type="gramStart"/>
      <w:r>
        <w:t>Meeting v</w:t>
      </w:r>
      <w:r w:rsidR="00252826">
        <w:t>enue</w:t>
      </w:r>
      <w:r>
        <w:t>s</w:t>
      </w:r>
      <w:r w:rsidR="00252826">
        <w:t xml:space="preserve"> to be agreed by </w:t>
      </w:r>
      <w:r>
        <w:t>members</w:t>
      </w:r>
      <w:r w:rsidR="00252826">
        <w:t>.</w:t>
      </w:r>
      <w:proofErr w:type="gramEnd"/>
    </w:p>
    <w:p w:rsidR="00677747" w:rsidRDefault="00677747" w:rsidP="008C5A1E">
      <w:pPr>
        <w:spacing w:after="120"/>
        <w:rPr>
          <w:b/>
        </w:rPr>
      </w:pPr>
      <w:r>
        <w:rPr>
          <w:b/>
        </w:rPr>
        <w:t>Confidentiality</w:t>
      </w:r>
      <w:r w:rsidR="00BF5299">
        <w:rPr>
          <w:b/>
        </w:rPr>
        <w:t xml:space="preserve"> and Conflicts of Interest</w:t>
      </w:r>
    </w:p>
    <w:p w:rsidR="004530D4" w:rsidRDefault="00677747">
      <w:r>
        <w:t xml:space="preserve">Members of the sub group agree to </w:t>
      </w:r>
      <w:r w:rsidR="00BF5299">
        <w:t xml:space="preserve">keep such matters confidential as is necessary to allow the group to perform its function.  </w:t>
      </w:r>
      <w:r w:rsidR="004530D4">
        <w:t>Each member is representing their organisation and as such the highest standards of confidentially will be expected.</w:t>
      </w:r>
    </w:p>
    <w:p w:rsidR="00BF5299" w:rsidRPr="00677747" w:rsidRDefault="00BF5299">
      <w:r>
        <w:t xml:space="preserve">Members shall declare potential conflicts of interest when they arise.  This does not prevent them from taking part in those </w:t>
      </w:r>
      <w:r w:rsidR="003519F9">
        <w:t xml:space="preserve">specific </w:t>
      </w:r>
      <w:r>
        <w:t>discussions as the group is advisory in nature.</w:t>
      </w:r>
    </w:p>
    <w:p w:rsidR="008C5A1E" w:rsidRDefault="008C5A1E">
      <w:pPr>
        <w:rPr>
          <w:b/>
        </w:rPr>
      </w:pPr>
      <w:r>
        <w:rPr>
          <w:b/>
        </w:rPr>
        <w:br w:type="page"/>
      </w:r>
    </w:p>
    <w:p w:rsidR="00C93B98" w:rsidRPr="00C93B98" w:rsidRDefault="00C93B98" w:rsidP="008C5A1E">
      <w:pPr>
        <w:spacing w:after="120"/>
        <w:rPr>
          <w:b/>
        </w:rPr>
      </w:pPr>
      <w:r w:rsidRPr="00C93B98">
        <w:rPr>
          <w:b/>
        </w:rPr>
        <w:lastRenderedPageBreak/>
        <w:t>Review</w:t>
      </w:r>
    </w:p>
    <w:p w:rsidR="00C93B98" w:rsidRDefault="00C93B98">
      <w:r>
        <w:t xml:space="preserve">These Terms of Reference will be reviewed on an annual basis and will be subject to approval by the </w:t>
      </w:r>
      <w:proofErr w:type="gramStart"/>
      <w:r>
        <w:t>main</w:t>
      </w:r>
      <w:proofErr w:type="gramEnd"/>
      <w:r>
        <w:t xml:space="preserve"> board.</w:t>
      </w:r>
    </w:p>
    <w:p w:rsidR="00B412F6" w:rsidRDefault="00B412F6" w:rsidP="008C5A1E">
      <w:pPr>
        <w:spacing w:after="120"/>
        <w:rPr>
          <w:b/>
        </w:rPr>
      </w:pPr>
      <w:r w:rsidRPr="00B412F6">
        <w:rPr>
          <w:b/>
        </w:rPr>
        <w:t>Advisers</w:t>
      </w:r>
    </w:p>
    <w:p w:rsidR="004A696B" w:rsidRDefault="001F1070">
      <w:r>
        <w:t>The Inward Investment Sub Group may co-opt specialist advis</w:t>
      </w:r>
      <w:r w:rsidR="004A696B">
        <w:t>ers for specific pieces of work with the agreement of the main board.</w:t>
      </w:r>
    </w:p>
    <w:p w:rsidR="00421BF4" w:rsidRDefault="00421BF4" w:rsidP="00421BF4">
      <w:pPr>
        <w:spacing w:after="120"/>
        <w:rPr>
          <w:b/>
        </w:rPr>
      </w:pPr>
      <w:r w:rsidRPr="00421BF4">
        <w:rPr>
          <w:b/>
        </w:rPr>
        <w:t>Terms</w:t>
      </w:r>
    </w:p>
    <w:p w:rsidR="00421BF4" w:rsidRDefault="00421BF4">
      <w:proofErr w:type="gramStart"/>
      <w:r w:rsidRPr="00421BF4">
        <w:t>GTDP :</w:t>
      </w:r>
      <w:proofErr w:type="gramEnd"/>
      <w:r w:rsidRPr="00421BF4">
        <w:t xml:space="preserve"> Greater Thetford Development Partnership</w:t>
      </w:r>
    </w:p>
    <w:p w:rsidR="00C132E5" w:rsidRPr="00421BF4" w:rsidRDefault="00C132E5">
      <w:proofErr w:type="gramStart"/>
      <w:r>
        <w:t>LEPs :</w:t>
      </w:r>
      <w:proofErr w:type="gramEnd"/>
      <w:r>
        <w:t xml:space="preserve"> Local Enterprise P</w:t>
      </w:r>
      <w:r w:rsidR="004530D4">
        <w:t>a</w:t>
      </w:r>
      <w:r>
        <w:t>rtnerships</w:t>
      </w:r>
    </w:p>
    <w:p w:rsidR="00421BF4" w:rsidRPr="004A696B" w:rsidRDefault="00421BF4"/>
    <w:sectPr w:rsidR="00421BF4" w:rsidRPr="004A69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7" w:rsidRDefault="004163C7" w:rsidP="004163C7">
      <w:pPr>
        <w:spacing w:after="0" w:line="240" w:lineRule="auto"/>
      </w:pPr>
      <w:r>
        <w:separator/>
      </w:r>
    </w:p>
  </w:endnote>
  <w:endnote w:type="continuationSeparator" w:id="0">
    <w:p w:rsidR="004163C7" w:rsidRDefault="004163C7" w:rsidP="0041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C7" w:rsidRPr="004163C7" w:rsidRDefault="004163C7" w:rsidP="004163C7">
    <w:pPr>
      <w:pStyle w:val="Footer"/>
      <w:jc w:val="center"/>
      <w:rPr>
        <w:sz w:val="18"/>
        <w:szCs w:val="18"/>
      </w:rPr>
    </w:pPr>
    <w:proofErr w:type="spellStart"/>
    <w:r w:rsidRPr="004163C7">
      <w:rPr>
        <w:sz w:val="18"/>
        <w:szCs w:val="18"/>
      </w:rPr>
      <w:t>GTDP_Inward</w:t>
    </w:r>
    <w:proofErr w:type="spellEnd"/>
    <w:r w:rsidRPr="004163C7">
      <w:rPr>
        <w:sz w:val="18"/>
        <w:szCs w:val="18"/>
      </w:rPr>
      <w:t xml:space="preserve"> I</w:t>
    </w:r>
    <w:r w:rsidR="00A9587F">
      <w:rPr>
        <w:sz w:val="18"/>
        <w:szCs w:val="18"/>
      </w:rPr>
      <w:t xml:space="preserve">nvestment Sub </w:t>
    </w:r>
    <w:proofErr w:type="spellStart"/>
    <w:r w:rsidR="00A9587F">
      <w:rPr>
        <w:sz w:val="18"/>
        <w:szCs w:val="18"/>
      </w:rPr>
      <w:t>Group_TOR</w:t>
    </w:r>
    <w:proofErr w:type="spellEnd"/>
    <w:r w:rsidR="00A9587F">
      <w:rPr>
        <w:sz w:val="18"/>
        <w:szCs w:val="18"/>
      </w:rPr>
      <w:t xml:space="preserve"> – Draft3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7" w:rsidRDefault="004163C7" w:rsidP="004163C7">
      <w:pPr>
        <w:spacing w:after="0" w:line="240" w:lineRule="auto"/>
      </w:pPr>
      <w:r>
        <w:separator/>
      </w:r>
    </w:p>
  </w:footnote>
  <w:footnote w:type="continuationSeparator" w:id="0">
    <w:p w:rsidR="004163C7" w:rsidRDefault="004163C7" w:rsidP="0041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26614"/>
      <w:docPartObj>
        <w:docPartGallery w:val="Watermarks"/>
        <w:docPartUnique/>
      </w:docPartObj>
    </w:sdtPr>
    <w:sdtEndPr/>
    <w:sdtContent>
      <w:p w:rsidR="005F76B9" w:rsidRDefault="002251B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12A"/>
    <w:multiLevelType w:val="hybridMultilevel"/>
    <w:tmpl w:val="951E16AC"/>
    <w:lvl w:ilvl="0" w:tplc="7CAAF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6"/>
    <w:rsid w:val="00105565"/>
    <w:rsid w:val="00111CBA"/>
    <w:rsid w:val="00195E38"/>
    <w:rsid w:val="001D1F2F"/>
    <w:rsid w:val="001F1070"/>
    <w:rsid w:val="001F5E8B"/>
    <w:rsid w:val="001F786B"/>
    <w:rsid w:val="002251BA"/>
    <w:rsid w:val="002331D6"/>
    <w:rsid w:val="00252826"/>
    <w:rsid w:val="002542B0"/>
    <w:rsid w:val="002A3637"/>
    <w:rsid w:val="003519F9"/>
    <w:rsid w:val="00364D12"/>
    <w:rsid w:val="003B7D3E"/>
    <w:rsid w:val="004163C7"/>
    <w:rsid w:val="00421BF4"/>
    <w:rsid w:val="00436834"/>
    <w:rsid w:val="00450EAF"/>
    <w:rsid w:val="004530D4"/>
    <w:rsid w:val="004A3557"/>
    <w:rsid w:val="004A696B"/>
    <w:rsid w:val="0051374F"/>
    <w:rsid w:val="00565203"/>
    <w:rsid w:val="005753C8"/>
    <w:rsid w:val="0057671B"/>
    <w:rsid w:val="005D0816"/>
    <w:rsid w:val="005F76B9"/>
    <w:rsid w:val="006436ED"/>
    <w:rsid w:val="00643A4E"/>
    <w:rsid w:val="00677747"/>
    <w:rsid w:val="00716AA4"/>
    <w:rsid w:val="007173D4"/>
    <w:rsid w:val="007251B3"/>
    <w:rsid w:val="008C5A1E"/>
    <w:rsid w:val="00900C88"/>
    <w:rsid w:val="009074D2"/>
    <w:rsid w:val="00911F97"/>
    <w:rsid w:val="0098380A"/>
    <w:rsid w:val="00A9587F"/>
    <w:rsid w:val="00AD28CD"/>
    <w:rsid w:val="00B412F6"/>
    <w:rsid w:val="00BF5299"/>
    <w:rsid w:val="00C07DAA"/>
    <w:rsid w:val="00C132E5"/>
    <w:rsid w:val="00C93B98"/>
    <w:rsid w:val="00CB7269"/>
    <w:rsid w:val="00CF780A"/>
    <w:rsid w:val="00D0028D"/>
    <w:rsid w:val="00D63BFF"/>
    <w:rsid w:val="00D64EC2"/>
    <w:rsid w:val="00D71B8D"/>
    <w:rsid w:val="00D71DAF"/>
    <w:rsid w:val="00D8235A"/>
    <w:rsid w:val="00DD6F8E"/>
    <w:rsid w:val="00DF4F74"/>
    <w:rsid w:val="00F51BD5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C7"/>
  </w:style>
  <w:style w:type="paragraph" w:styleId="Footer">
    <w:name w:val="footer"/>
    <w:basedOn w:val="Normal"/>
    <w:link w:val="FooterChar"/>
    <w:uiPriority w:val="99"/>
    <w:unhideWhenUsed/>
    <w:rsid w:val="0041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C7"/>
  </w:style>
  <w:style w:type="paragraph" w:styleId="Footer">
    <w:name w:val="footer"/>
    <w:basedOn w:val="Normal"/>
    <w:link w:val="FooterChar"/>
    <w:uiPriority w:val="99"/>
    <w:unhideWhenUsed/>
    <w:rsid w:val="0041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2015-11-25T08:51:00Z</dcterms:created>
  <dcterms:modified xsi:type="dcterms:W3CDTF">2015-11-25T09:00:00Z</dcterms:modified>
</cp:coreProperties>
</file>